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E99" w:rsidRPr="00256606" w:rsidRDefault="00186E99" w:rsidP="00186E99">
      <w:pPr>
        <w:pStyle w:val="Header"/>
        <w:tabs>
          <w:tab w:val="right" w:pos="9639"/>
        </w:tabs>
        <w:jc w:val="both"/>
        <w:rPr>
          <w:rFonts w:cs="Arial"/>
          <w:sz w:val="24"/>
          <w:szCs w:val="24"/>
        </w:rPr>
      </w:pPr>
      <w:r w:rsidRPr="00256606">
        <w:rPr>
          <w:rFonts w:cs="Arial"/>
          <w:sz w:val="24"/>
          <w:szCs w:val="24"/>
        </w:rPr>
        <w:t>3GPP TSG-RAN WG4 Meeting NR ad-hoc #4</w:t>
      </w:r>
      <w:r w:rsidRPr="00256606">
        <w:rPr>
          <w:rFonts w:cs="Arial"/>
          <w:sz w:val="24"/>
          <w:szCs w:val="24"/>
        </w:rPr>
        <w:tab/>
        <w:t>R4-</w:t>
      </w:r>
      <w:r w:rsidR="00F4698E" w:rsidRPr="00F4698E">
        <w:rPr>
          <w:rFonts w:cs="Arial"/>
          <w:sz w:val="24"/>
          <w:szCs w:val="24"/>
        </w:rPr>
        <w:t>1800863</w:t>
      </w:r>
    </w:p>
    <w:p w:rsidR="00186E99" w:rsidRPr="00256606" w:rsidRDefault="00186E99" w:rsidP="00186E99">
      <w:pPr>
        <w:pStyle w:val="Header"/>
        <w:tabs>
          <w:tab w:val="right" w:pos="9639"/>
        </w:tabs>
        <w:jc w:val="both"/>
        <w:rPr>
          <w:rFonts w:cs="Arial"/>
          <w:sz w:val="24"/>
          <w:szCs w:val="24"/>
        </w:rPr>
      </w:pPr>
      <w:r w:rsidRPr="00256606">
        <w:rPr>
          <w:rFonts w:cs="Arial"/>
          <w:sz w:val="24"/>
          <w:szCs w:val="24"/>
        </w:rPr>
        <w:t>January 22nd – 26st, 2018</w:t>
      </w:r>
    </w:p>
    <w:p w:rsidR="00186E99" w:rsidRPr="00DB3907" w:rsidRDefault="00186E99" w:rsidP="00186E99">
      <w:pPr>
        <w:pStyle w:val="Header"/>
        <w:jc w:val="both"/>
        <w:rPr>
          <w:rFonts w:cs="Courier New"/>
          <w:sz w:val="24"/>
          <w:szCs w:val="24"/>
        </w:rPr>
      </w:pPr>
      <w:r w:rsidRPr="00256606">
        <w:rPr>
          <w:rFonts w:cs="Arial"/>
          <w:sz w:val="24"/>
          <w:szCs w:val="24"/>
        </w:rPr>
        <w:t xml:space="preserve">San Diego, CA, USA </w:t>
      </w:r>
    </w:p>
    <w:p w:rsidR="008209AC" w:rsidRPr="00DB3907" w:rsidRDefault="008209AC" w:rsidP="008209AC">
      <w:pPr>
        <w:pStyle w:val="Header"/>
        <w:jc w:val="both"/>
        <w:rPr>
          <w:rFonts w:cs="Courier New"/>
          <w:sz w:val="24"/>
          <w:szCs w:val="24"/>
        </w:rPr>
      </w:pPr>
    </w:p>
    <w:p w:rsidR="009C1F3F" w:rsidRPr="00F56E56" w:rsidRDefault="009C1F3F" w:rsidP="00AC033F">
      <w:pPr>
        <w:pStyle w:val="Header"/>
        <w:jc w:val="both"/>
        <w:rPr>
          <w:rFonts w:cs="Arial"/>
          <w:b w:val="0"/>
        </w:rPr>
      </w:pPr>
    </w:p>
    <w:p w:rsidR="00E43D4D" w:rsidRPr="00E53F32" w:rsidRDefault="00E43D4D" w:rsidP="00AC033F">
      <w:pPr>
        <w:pStyle w:val="Footer"/>
        <w:jc w:val="both"/>
      </w:pPr>
    </w:p>
    <w:p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1A2442" w:rsidRPr="001A2442">
        <w:rPr>
          <w:rFonts w:ascii="Arial" w:hAnsi="Arial"/>
          <w:sz w:val="24"/>
          <w:lang w:val="en-US"/>
        </w:rPr>
        <w:t>4.3.2.1.5</w:t>
      </w:r>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A2442" w:rsidRPr="001A2442">
        <w:rPr>
          <w:rFonts w:ascii="Arial" w:hAnsi="Arial"/>
          <w:sz w:val="24"/>
          <w:lang w:val="en-US"/>
        </w:rPr>
        <w:t xml:space="preserve">On mmW NR Coverage and Capacity - Impact of Spherical Coverage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576CE">
        <w:rPr>
          <w:rFonts w:ascii="Arial" w:hAnsi="Arial"/>
          <w:sz w:val="24"/>
          <w:lang w:val="en-US"/>
        </w:rPr>
        <w:t>Approval</w:t>
      </w:r>
    </w:p>
    <w:p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p>
    <w:p w:rsidR="003B575B" w:rsidRDefault="003B575B" w:rsidP="003B575B">
      <w:pPr>
        <w:jc w:val="both"/>
        <w:rPr>
          <w:rFonts w:cs="v5.0.0"/>
        </w:rPr>
      </w:pPr>
      <w:r>
        <w:rPr>
          <w:rFonts w:cs="v5.0.0"/>
        </w:rPr>
        <w:t>In RAN4 #85, the UE power class for frequency range 2 (F</w:t>
      </w:r>
      <w:r w:rsidR="006E4677">
        <w:rPr>
          <w:rFonts w:cs="v5.0.0"/>
        </w:rPr>
        <w:t>R) NR was extensively discussed</w:t>
      </w:r>
      <w:r>
        <w:rPr>
          <w:rFonts w:cs="v5.0.0"/>
        </w:rPr>
        <w:t xml:space="preserve"> focus</w:t>
      </w:r>
      <w:r w:rsidR="006E4677">
        <w:rPr>
          <w:rFonts w:cs="v5.0.0"/>
        </w:rPr>
        <w:t>ing</w:t>
      </w:r>
      <w:r>
        <w:rPr>
          <w:rFonts w:cs="v5.0.0"/>
        </w:rPr>
        <w:t xml:space="preserve"> on both peak EIRP and spherical coverage requirements. With specific reference to the spherical coverage, a Way Forward (WF) </w:t>
      </w:r>
      <w:r>
        <w:rPr>
          <w:rFonts w:cs="v5.0.0"/>
        </w:rPr>
        <w:fldChar w:fldCharType="begin"/>
      </w:r>
      <w:r>
        <w:rPr>
          <w:rFonts w:cs="v5.0.0"/>
        </w:rPr>
        <w:instrText xml:space="preserve"> REF _Ref492892245 \n \h </w:instrText>
      </w:r>
      <w:r>
        <w:rPr>
          <w:rFonts w:cs="v5.0.0"/>
        </w:rPr>
      </w:r>
      <w:r>
        <w:rPr>
          <w:rFonts w:cs="v5.0.0"/>
        </w:rPr>
        <w:fldChar w:fldCharType="separate"/>
      </w:r>
      <w:r w:rsidR="007C5FAC">
        <w:rPr>
          <w:rFonts w:cs="v5.0.0"/>
        </w:rPr>
        <w:t>[1]</w:t>
      </w:r>
      <w:r>
        <w:rPr>
          <w:rFonts w:cs="v5.0.0"/>
        </w:rPr>
        <w:fldChar w:fldCharType="end"/>
      </w:r>
      <w:r>
        <w:rPr>
          <w:rFonts w:cs="v5.0.0"/>
        </w:rPr>
        <w:t xml:space="preserve"> has been approved defining a specific action plan to finalize the requirement. </w:t>
      </w:r>
    </w:p>
    <w:p w:rsidR="003B575B" w:rsidRDefault="003B575B" w:rsidP="003B575B">
      <w:pPr>
        <w:jc w:val="both"/>
        <w:rPr>
          <w:rFonts w:cs="v5.0.0"/>
        </w:rPr>
      </w:pPr>
      <w:r>
        <w:rPr>
          <w:rFonts w:cs="v5.0.0"/>
        </w:rPr>
        <w:t xml:space="preserve">In this contribution, we provide a set of simulation results showing the impact of spherical coverage on the overall NR DL and UL performance in 28GHz band. The assumptions adopted in this study are listed in </w:t>
      </w:r>
      <w:r>
        <w:rPr>
          <w:rFonts w:cs="v5.0.0"/>
        </w:rPr>
        <w:fldChar w:fldCharType="begin"/>
      </w:r>
      <w:r>
        <w:rPr>
          <w:rFonts w:cs="v5.0.0"/>
        </w:rPr>
        <w:instrText xml:space="preserve"> REF _Ref503776022 \r \h </w:instrText>
      </w:r>
      <w:r>
        <w:rPr>
          <w:rFonts w:cs="v5.0.0"/>
        </w:rPr>
      </w:r>
      <w:r>
        <w:rPr>
          <w:rFonts w:cs="v5.0.0"/>
        </w:rPr>
        <w:fldChar w:fldCharType="separate"/>
      </w:r>
      <w:r w:rsidR="007C5FAC">
        <w:rPr>
          <w:rFonts w:cs="v5.0.0"/>
        </w:rPr>
        <w:t>[2]</w:t>
      </w:r>
      <w:r>
        <w:rPr>
          <w:rFonts w:cs="v5.0.0"/>
        </w:rPr>
        <w:fldChar w:fldCharType="end"/>
      </w:r>
      <w:r>
        <w:rPr>
          <w:rFonts w:cs="v5.0.0"/>
        </w:rPr>
        <w:t>. The final goal of this paper is to provide information useful to finalize the spherical</w:t>
      </w:r>
      <w:r w:rsidR="00B06A1C">
        <w:rPr>
          <w:rFonts w:cs="v5.0.0"/>
        </w:rPr>
        <w:t xml:space="preserve"> coverage</w:t>
      </w:r>
      <w:r>
        <w:rPr>
          <w:rFonts w:cs="v5.0.0"/>
        </w:rPr>
        <w:t xml:space="preserve"> requirement for the NR UE power class definition. </w:t>
      </w:r>
    </w:p>
    <w:p w:rsidR="00781440" w:rsidRDefault="00981D0D" w:rsidP="00AC033F">
      <w:pPr>
        <w:pStyle w:val="Heading1"/>
        <w:tabs>
          <w:tab w:val="clear" w:pos="432"/>
          <w:tab w:val="num" w:pos="522"/>
        </w:tabs>
        <w:ind w:left="522" w:hanging="522"/>
        <w:jc w:val="both"/>
        <w:rPr>
          <w:lang w:val="en-US"/>
        </w:rPr>
      </w:pPr>
      <w:r>
        <w:rPr>
          <w:lang w:val="en-US"/>
        </w:rPr>
        <w:t>Discussion</w:t>
      </w:r>
    </w:p>
    <w:p w:rsidR="00B66E2C" w:rsidRDefault="003B575B" w:rsidP="003B575B">
      <w:pPr>
        <w:jc w:val="both"/>
        <w:rPr>
          <w:rFonts w:cs="v5.0.0"/>
        </w:rPr>
      </w:pPr>
      <w:r w:rsidRPr="00432B2A">
        <w:rPr>
          <w:rFonts w:cs="v5.0.0"/>
        </w:rPr>
        <w:t xml:space="preserve">In </w:t>
      </w:r>
      <w:r>
        <w:rPr>
          <w:rFonts w:cs="v5.0.0"/>
        </w:rPr>
        <w:fldChar w:fldCharType="begin"/>
      </w:r>
      <w:r>
        <w:rPr>
          <w:rFonts w:cs="v5.0.0"/>
        </w:rPr>
        <w:instrText xml:space="preserve"> REF _Ref503262415 \r \h </w:instrText>
      </w:r>
      <w:r>
        <w:rPr>
          <w:rFonts w:cs="v5.0.0"/>
        </w:rPr>
      </w:r>
      <w:r>
        <w:rPr>
          <w:rFonts w:cs="v5.0.0"/>
        </w:rPr>
        <w:fldChar w:fldCharType="separate"/>
      </w:r>
      <w:r w:rsidR="007C5FAC">
        <w:rPr>
          <w:rFonts w:cs="v5.0.0"/>
        </w:rPr>
        <w:t>[1]</w:t>
      </w:r>
      <w:r>
        <w:rPr>
          <w:rFonts w:cs="v5.0.0"/>
        </w:rPr>
        <w:fldChar w:fldCharType="end"/>
      </w:r>
      <w:r>
        <w:rPr>
          <w:rFonts w:cs="v5.0.0"/>
        </w:rPr>
        <w:t xml:space="preserve"> </w:t>
      </w:r>
      <w:r w:rsidR="00B66E2C">
        <w:rPr>
          <w:rFonts w:cs="v5.0.0"/>
        </w:rPr>
        <w:t xml:space="preserve">it was agreed that UE spherical coverage requirement for frequency range 2 (FR2) should </w:t>
      </w:r>
      <w:proofErr w:type="gramStart"/>
      <w:r w:rsidR="00B66E2C">
        <w:rPr>
          <w:rFonts w:cs="v5.0.0"/>
        </w:rPr>
        <w:t>take into account</w:t>
      </w:r>
      <w:proofErr w:type="gramEnd"/>
      <w:r w:rsidR="00B66E2C">
        <w:rPr>
          <w:rFonts w:cs="v5.0.0"/>
        </w:rPr>
        <w:t xml:space="preserve"> both UE specific implementation constraints and the impact to NR network performance. In this contribution, we </w:t>
      </w:r>
      <w:r w:rsidR="00B06A1C">
        <w:rPr>
          <w:rFonts w:cs="v5.0.0"/>
        </w:rPr>
        <w:t xml:space="preserve">only </w:t>
      </w:r>
      <w:r w:rsidR="00B66E2C">
        <w:rPr>
          <w:rFonts w:cs="v5.0.0"/>
        </w:rPr>
        <w:t>focus on the network performance aspects</w:t>
      </w:r>
      <w:r w:rsidRPr="00432B2A">
        <w:rPr>
          <w:rFonts w:cs="v5.0.0"/>
        </w:rPr>
        <w:t>.</w:t>
      </w:r>
      <w:r>
        <w:rPr>
          <w:rFonts w:cs="v5.0.0"/>
        </w:rPr>
        <w:t xml:space="preserve"> </w:t>
      </w:r>
    </w:p>
    <w:p w:rsidR="00B66E2C" w:rsidRDefault="00B66E2C" w:rsidP="00230C9B">
      <w:pPr>
        <w:jc w:val="both"/>
        <w:rPr>
          <w:rFonts w:cs="v5.0.0"/>
        </w:rPr>
      </w:pPr>
      <w:r>
        <w:rPr>
          <w:rFonts w:cs="v5.0.0"/>
        </w:rPr>
        <w:t>Since it was decided to revise the simulation assumptions compared to the ones</w:t>
      </w:r>
      <w:r w:rsidR="00B06A1C">
        <w:rPr>
          <w:rFonts w:cs="v5.0.0"/>
        </w:rPr>
        <w:t xml:space="preserve"> agreed</w:t>
      </w:r>
      <w:r>
        <w:rPr>
          <w:rFonts w:cs="v5.0.0"/>
        </w:rPr>
        <w:t xml:space="preserve"> during NR study item (</w:t>
      </w:r>
      <w:r w:rsidR="00B06A1C">
        <w:rPr>
          <w:rFonts w:cs="v5.0.0"/>
        </w:rPr>
        <w:t xml:space="preserve">and </w:t>
      </w:r>
      <w:r>
        <w:rPr>
          <w:rFonts w:cs="v5.0.0"/>
        </w:rPr>
        <w:t xml:space="preserve">captured in TR 38.803 </w:t>
      </w:r>
      <w:r>
        <w:rPr>
          <w:rFonts w:cs="v5.0.0"/>
        </w:rPr>
        <w:fldChar w:fldCharType="begin"/>
      </w:r>
      <w:r>
        <w:rPr>
          <w:rFonts w:cs="v5.0.0"/>
        </w:rPr>
        <w:instrText xml:space="preserve"> REF _Ref503776550 \r \h </w:instrText>
      </w:r>
      <w:r>
        <w:rPr>
          <w:rFonts w:cs="v5.0.0"/>
        </w:rPr>
      </w:r>
      <w:r>
        <w:rPr>
          <w:rFonts w:cs="v5.0.0"/>
        </w:rPr>
        <w:fldChar w:fldCharType="separate"/>
      </w:r>
      <w:r w:rsidR="007C5FAC">
        <w:rPr>
          <w:rFonts w:cs="v5.0.0"/>
        </w:rPr>
        <w:t>[3]</w:t>
      </w:r>
      <w:r>
        <w:rPr>
          <w:rFonts w:cs="v5.0.0"/>
        </w:rPr>
        <w:fldChar w:fldCharType="end"/>
      </w:r>
      <w:r>
        <w:rPr>
          <w:rFonts w:cs="v5.0.0"/>
        </w:rPr>
        <w:t xml:space="preserve">), in </w:t>
      </w:r>
      <w:r>
        <w:rPr>
          <w:rFonts w:cs="v5.0.0"/>
        </w:rPr>
        <w:fldChar w:fldCharType="begin"/>
      </w:r>
      <w:r>
        <w:rPr>
          <w:rFonts w:cs="v5.0.0"/>
        </w:rPr>
        <w:instrText xml:space="preserve"> REF _Ref503776022 \r \h </w:instrText>
      </w:r>
      <w:r>
        <w:rPr>
          <w:rFonts w:cs="v5.0.0"/>
        </w:rPr>
      </w:r>
      <w:r>
        <w:rPr>
          <w:rFonts w:cs="v5.0.0"/>
        </w:rPr>
        <w:fldChar w:fldCharType="separate"/>
      </w:r>
      <w:r w:rsidR="007C5FAC">
        <w:rPr>
          <w:rFonts w:cs="v5.0.0"/>
        </w:rPr>
        <w:t>[2]</w:t>
      </w:r>
      <w:r>
        <w:rPr>
          <w:rFonts w:cs="v5.0.0"/>
        </w:rPr>
        <w:fldChar w:fldCharType="end"/>
      </w:r>
      <w:r>
        <w:rPr>
          <w:rFonts w:cs="v5.0.0"/>
        </w:rPr>
        <w:t xml:space="preserve"> we presented a list of specific proposals to improve both deployment scenarios and UE specific assumptions. Those assumptions will be the ones used in the rest of the paper. </w:t>
      </w:r>
    </w:p>
    <w:p w:rsidR="00B66E2C" w:rsidRDefault="00B66E2C" w:rsidP="00B66E2C">
      <w:pPr>
        <w:jc w:val="both"/>
        <w:rPr>
          <w:bCs/>
          <w:iCs/>
          <w:lang w:val="en-US"/>
        </w:rPr>
      </w:pPr>
      <w:r>
        <w:rPr>
          <w:bCs/>
          <w:iCs/>
          <w:lang w:val="en-US"/>
        </w:rPr>
        <w:t xml:space="preserve">In the following sections, we will first </w:t>
      </w:r>
      <w:r w:rsidR="007C5FAC">
        <w:rPr>
          <w:bCs/>
          <w:iCs/>
          <w:lang w:val="en-US"/>
        </w:rPr>
        <w:t>provide</w:t>
      </w:r>
      <w:r>
        <w:rPr>
          <w:bCs/>
          <w:iCs/>
          <w:lang w:val="en-US"/>
        </w:rPr>
        <w:t xml:space="preserve"> </w:t>
      </w:r>
      <w:proofErr w:type="gramStart"/>
      <w:r>
        <w:rPr>
          <w:bCs/>
          <w:iCs/>
          <w:lang w:val="en-US"/>
        </w:rPr>
        <w:t>a brief summary</w:t>
      </w:r>
      <w:proofErr w:type="gramEnd"/>
      <w:r>
        <w:rPr>
          <w:bCs/>
          <w:iCs/>
          <w:lang w:val="en-US"/>
        </w:rPr>
        <w:t xml:space="preserve"> of the adopted simulation assumptions (following </w:t>
      </w:r>
      <w:r>
        <w:rPr>
          <w:rFonts w:cs="v5.0.0"/>
        </w:rPr>
        <w:fldChar w:fldCharType="begin"/>
      </w:r>
      <w:r>
        <w:rPr>
          <w:rFonts w:cs="v5.0.0"/>
        </w:rPr>
        <w:instrText xml:space="preserve"> REF _Ref503776022 \r \h </w:instrText>
      </w:r>
      <w:r>
        <w:rPr>
          <w:rFonts w:cs="v5.0.0"/>
        </w:rPr>
      </w:r>
      <w:r>
        <w:rPr>
          <w:rFonts w:cs="v5.0.0"/>
        </w:rPr>
        <w:fldChar w:fldCharType="separate"/>
      </w:r>
      <w:r w:rsidR="007C5FAC">
        <w:rPr>
          <w:rFonts w:cs="v5.0.0"/>
        </w:rPr>
        <w:t>[2]</w:t>
      </w:r>
      <w:r>
        <w:rPr>
          <w:rFonts w:cs="v5.0.0"/>
        </w:rPr>
        <w:fldChar w:fldCharType="end"/>
      </w:r>
      <w:r>
        <w:rPr>
          <w:rFonts w:cs="v5.0.0"/>
        </w:rPr>
        <w:t>)</w:t>
      </w:r>
      <w:r>
        <w:rPr>
          <w:bCs/>
          <w:iCs/>
          <w:lang w:val="en-US"/>
        </w:rPr>
        <w:t xml:space="preserve">, and we will then show DL and UL throughput and coverage performance considering three different deployment </w:t>
      </w:r>
      <w:r w:rsidR="00B06A1C">
        <w:rPr>
          <w:bCs/>
          <w:iCs/>
          <w:lang w:val="en-US"/>
        </w:rPr>
        <w:t>scenarios</w:t>
      </w:r>
      <w:r>
        <w:rPr>
          <w:bCs/>
          <w:iCs/>
          <w:lang w:val="en-US"/>
        </w:rPr>
        <w:t xml:space="preserve">, namely </w:t>
      </w:r>
      <w:r>
        <w:rPr>
          <w:lang w:val="en-US"/>
        </w:rPr>
        <w:t>indoor office (</w:t>
      </w:r>
      <w:proofErr w:type="spellStart"/>
      <w:r>
        <w:rPr>
          <w:lang w:val="en-US"/>
        </w:rPr>
        <w:t>InH</w:t>
      </w:r>
      <w:proofErr w:type="spellEnd"/>
      <w:r>
        <w:rPr>
          <w:lang w:val="en-US"/>
        </w:rPr>
        <w:t>), dense urban (</w:t>
      </w:r>
      <w:proofErr w:type="spellStart"/>
      <w:r>
        <w:rPr>
          <w:lang w:val="en-US"/>
        </w:rPr>
        <w:t>UMi</w:t>
      </w:r>
      <w:proofErr w:type="spellEnd"/>
      <w:r>
        <w:rPr>
          <w:lang w:val="en-US"/>
        </w:rPr>
        <w:t>) and for Urban Macro (</w:t>
      </w:r>
      <w:proofErr w:type="spellStart"/>
      <w:r>
        <w:rPr>
          <w:lang w:val="en-US"/>
        </w:rPr>
        <w:t>UMa</w:t>
      </w:r>
      <w:proofErr w:type="spellEnd"/>
      <w:r>
        <w:rPr>
          <w:lang w:val="en-US"/>
        </w:rPr>
        <w:t>).</w:t>
      </w:r>
    </w:p>
    <w:p w:rsidR="00805E42" w:rsidRDefault="004F3B49" w:rsidP="00F33FEA">
      <w:pPr>
        <w:pStyle w:val="Heading2"/>
        <w:rPr>
          <w:lang w:val="en-US"/>
        </w:rPr>
      </w:pPr>
      <w:bookmarkStart w:id="1" w:name="_Ref498606406"/>
      <w:r>
        <w:rPr>
          <w:lang w:val="en-US"/>
        </w:rPr>
        <w:t>S</w:t>
      </w:r>
      <w:r w:rsidR="00805E42">
        <w:rPr>
          <w:lang w:val="en-US"/>
        </w:rPr>
        <w:t>imulation assumptions</w:t>
      </w:r>
      <w:bookmarkEnd w:id="1"/>
      <w:r w:rsidR="00805E42">
        <w:rPr>
          <w:lang w:val="en-US"/>
        </w:rPr>
        <w:t xml:space="preserve"> </w:t>
      </w:r>
    </w:p>
    <w:p w:rsidR="007C5FAC" w:rsidRDefault="007C5FAC" w:rsidP="007C5FAC">
      <w:pPr>
        <w:jc w:val="both"/>
        <w:rPr>
          <w:lang w:val="en-US"/>
        </w:rPr>
      </w:pPr>
      <w:r>
        <w:rPr>
          <w:lang w:val="en-US"/>
        </w:rPr>
        <w:t xml:space="preserve">As explained in </w:t>
      </w:r>
      <w:r>
        <w:rPr>
          <w:rFonts w:cs="v5.0.0"/>
        </w:rPr>
        <w:fldChar w:fldCharType="begin"/>
      </w:r>
      <w:r>
        <w:rPr>
          <w:rFonts w:cs="v5.0.0"/>
        </w:rPr>
        <w:instrText xml:space="preserve"> REF _Ref503776022 \r \h </w:instrText>
      </w:r>
      <w:r>
        <w:rPr>
          <w:rFonts w:cs="v5.0.0"/>
        </w:rPr>
      </w:r>
      <w:r>
        <w:rPr>
          <w:rFonts w:cs="v5.0.0"/>
        </w:rPr>
        <w:fldChar w:fldCharType="separate"/>
      </w:r>
      <w:r>
        <w:rPr>
          <w:rFonts w:cs="v5.0.0"/>
        </w:rPr>
        <w:t>[2]</w:t>
      </w:r>
      <w:r>
        <w:rPr>
          <w:rFonts w:cs="v5.0.0"/>
        </w:rPr>
        <w:fldChar w:fldCharType="end"/>
      </w:r>
      <w:r>
        <w:rPr>
          <w:lang w:val="en-US"/>
        </w:rPr>
        <w:t xml:space="preserve">, we proposed to improve some of the assumptions compared to TR 38.803 </w:t>
      </w:r>
      <w:proofErr w:type="gramStart"/>
      <w:r>
        <w:rPr>
          <w:lang w:val="en-US"/>
        </w:rPr>
        <w:t>in order to</w:t>
      </w:r>
      <w:proofErr w:type="gramEnd"/>
      <w:r>
        <w:rPr>
          <w:lang w:val="en-US"/>
        </w:rPr>
        <w:t xml:space="preserve"> get a more typical deployment and UE behavior. The full set of assumptions which are the basis of this study is described in </w:t>
      </w:r>
      <w:r>
        <w:rPr>
          <w:lang w:val="en-US"/>
        </w:rPr>
        <w:fldChar w:fldCharType="begin"/>
      </w:r>
      <w:r>
        <w:rPr>
          <w:lang w:val="en-US"/>
        </w:rPr>
        <w:instrText xml:space="preserve"> REF _Ref503532331 \r \h </w:instrText>
      </w:r>
      <w:r>
        <w:rPr>
          <w:lang w:val="en-US"/>
        </w:rPr>
      </w:r>
      <w:r>
        <w:rPr>
          <w:lang w:val="en-US"/>
        </w:rPr>
        <w:fldChar w:fldCharType="separate"/>
      </w:r>
      <w:r>
        <w:rPr>
          <w:lang w:val="en-US"/>
        </w:rPr>
        <w:t>[2]</w:t>
      </w:r>
      <w:r>
        <w:rPr>
          <w:lang w:val="en-US"/>
        </w:rPr>
        <w:fldChar w:fldCharType="end"/>
      </w:r>
      <w:r>
        <w:rPr>
          <w:lang w:val="en-US"/>
        </w:rPr>
        <w:t xml:space="preserve">, where a rational for every modification compared to TR 38.803 is given. In </w:t>
      </w:r>
      <w:r w:rsidRPr="007D48DA">
        <w:rPr>
          <w:lang w:val="en-US"/>
        </w:rPr>
        <w:fldChar w:fldCharType="begin"/>
      </w:r>
      <w:r w:rsidRPr="007D48DA">
        <w:rPr>
          <w:lang w:val="en-US"/>
        </w:rPr>
        <w:instrText xml:space="preserve"> REF _Ref503359305 \h  \* MERGEFORMAT </w:instrText>
      </w:r>
      <w:r w:rsidRPr="007D48DA">
        <w:rPr>
          <w:lang w:val="en-US"/>
        </w:rPr>
      </w:r>
      <w:r w:rsidRPr="007D48DA">
        <w:rPr>
          <w:lang w:val="en-US"/>
        </w:rPr>
        <w:fldChar w:fldCharType="separate"/>
      </w:r>
      <w:r>
        <w:t xml:space="preserve">Table </w:t>
      </w:r>
      <w:r>
        <w:rPr>
          <w:noProof/>
        </w:rPr>
        <w:t>1</w:t>
      </w:r>
      <w:r w:rsidRPr="007D48DA">
        <w:rPr>
          <w:lang w:val="en-US"/>
        </w:rPr>
        <w:fldChar w:fldCharType="end"/>
      </w:r>
      <w:r>
        <w:rPr>
          <w:lang w:val="en-US"/>
        </w:rPr>
        <w:t xml:space="preserve"> summary of the key settings for each of the deployment scenario under analysis is reported.  </w:t>
      </w:r>
    </w:p>
    <w:p w:rsidR="00DD60AF" w:rsidRDefault="00DD60AF" w:rsidP="00DD60AF">
      <w:pPr>
        <w:pStyle w:val="Caption"/>
        <w:keepNext/>
        <w:jc w:val="center"/>
      </w:pPr>
      <w:bookmarkStart w:id="2" w:name="_Ref503359305"/>
      <w:bookmarkStart w:id="3" w:name="_Hlk503808256"/>
      <w:r>
        <w:t xml:space="preserve">Table </w:t>
      </w:r>
      <w:r>
        <w:fldChar w:fldCharType="begin"/>
      </w:r>
      <w:r>
        <w:instrText xml:space="preserve"> SEQ Table \* ARABIC </w:instrText>
      </w:r>
      <w:r>
        <w:fldChar w:fldCharType="separate"/>
      </w:r>
      <w:r w:rsidR="007C5FAC">
        <w:rPr>
          <w:noProof/>
        </w:rPr>
        <w:t>1</w:t>
      </w:r>
      <w:r>
        <w:fldChar w:fldCharType="end"/>
      </w:r>
      <w:bookmarkEnd w:id="2"/>
      <w:r>
        <w:t xml:space="preserve">. </w:t>
      </w:r>
      <w:r w:rsidR="00A23C0C">
        <w:t>Parameters for different deployment scenarios.</w:t>
      </w:r>
    </w:p>
    <w:tbl>
      <w:tblPr>
        <w:tblStyle w:val="TableGrid"/>
        <w:tblW w:w="9621" w:type="dxa"/>
        <w:jc w:val="center"/>
        <w:tblLook w:val="04A0" w:firstRow="1" w:lastRow="0" w:firstColumn="1" w:lastColumn="0" w:noHBand="0" w:noVBand="1"/>
      </w:tblPr>
      <w:tblGrid>
        <w:gridCol w:w="3207"/>
        <w:gridCol w:w="3207"/>
        <w:gridCol w:w="3207"/>
      </w:tblGrid>
      <w:tr w:rsidR="00183A00" w:rsidTr="00B06A1C">
        <w:trPr>
          <w:jc w:val="center"/>
        </w:trPr>
        <w:tc>
          <w:tcPr>
            <w:tcW w:w="3207" w:type="dxa"/>
            <w:vAlign w:val="center"/>
          </w:tcPr>
          <w:p w:rsidR="00183A00" w:rsidRPr="00FF38A3" w:rsidRDefault="00183A00" w:rsidP="00B64BEC">
            <w:pPr>
              <w:jc w:val="center"/>
              <w:rPr>
                <w:b/>
                <w:sz w:val="24"/>
                <w:szCs w:val="28"/>
                <w:lang w:val="en-US"/>
              </w:rPr>
            </w:pPr>
            <w:bookmarkStart w:id="4" w:name="_Hlk503533359"/>
            <w:bookmarkStart w:id="5" w:name="_Hlk503533384"/>
            <w:bookmarkEnd w:id="3"/>
            <w:proofErr w:type="spellStart"/>
            <w:r>
              <w:rPr>
                <w:b/>
                <w:sz w:val="24"/>
                <w:szCs w:val="28"/>
                <w:lang w:val="en-US"/>
              </w:rPr>
              <w:t>InH</w:t>
            </w:r>
            <w:proofErr w:type="spellEnd"/>
          </w:p>
        </w:tc>
        <w:tc>
          <w:tcPr>
            <w:tcW w:w="3207" w:type="dxa"/>
            <w:vAlign w:val="center"/>
          </w:tcPr>
          <w:p w:rsidR="00183A00" w:rsidRPr="00FF38A3" w:rsidRDefault="00183A00" w:rsidP="00B64BEC">
            <w:pPr>
              <w:jc w:val="center"/>
              <w:rPr>
                <w:sz w:val="24"/>
                <w:lang w:val="en-US"/>
              </w:rPr>
            </w:pPr>
            <w:proofErr w:type="spellStart"/>
            <w:r w:rsidRPr="00FF38A3">
              <w:rPr>
                <w:b/>
                <w:sz w:val="24"/>
                <w:szCs w:val="28"/>
                <w:lang w:val="en-US"/>
              </w:rPr>
              <w:t>UMi</w:t>
            </w:r>
            <w:proofErr w:type="spellEnd"/>
          </w:p>
        </w:tc>
        <w:tc>
          <w:tcPr>
            <w:tcW w:w="3207" w:type="dxa"/>
            <w:vAlign w:val="center"/>
          </w:tcPr>
          <w:p w:rsidR="00183A00" w:rsidRPr="0056269B" w:rsidRDefault="00183A00" w:rsidP="00B64BEC">
            <w:pPr>
              <w:jc w:val="center"/>
              <w:rPr>
                <w:b/>
                <w:sz w:val="24"/>
                <w:szCs w:val="28"/>
                <w:lang w:val="en-US"/>
              </w:rPr>
            </w:pPr>
            <w:proofErr w:type="spellStart"/>
            <w:r w:rsidRPr="007D48DA">
              <w:rPr>
                <w:b/>
                <w:sz w:val="24"/>
                <w:szCs w:val="28"/>
                <w:lang w:val="en-US"/>
              </w:rPr>
              <w:t>UMa</w:t>
            </w:r>
            <w:proofErr w:type="spellEnd"/>
          </w:p>
        </w:tc>
      </w:tr>
      <w:tr w:rsidR="00183A00" w:rsidTr="00B06A1C">
        <w:trPr>
          <w:jc w:val="center"/>
        </w:trPr>
        <w:tc>
          <w:tcPr>
            <w:tcW w:w="3207" w:type="dxa"/>
            <w:vAlign w:val="center"/>
          </w:tcPr>
          <w:p w:rsidR="00183A00" w:rsidRDefault="00183A00" w:rsidP="000D2F4B">
            <w:pPr>
              <w:jc w:val="center"/>
              <w:rPr>
                <w:lang w:val="en-US"/>
              </w:rPr>
            </w:pPr>
            <w:r>
              <w:rPr>
                <w:lang w:val="en-US"/>
              </w:rPr>
              <w:t>EIRP = 25.2dBm</w:t>
            </w:r>
          </w:p>
        </w:tc>
        <w:tc>
          <w:tcPr>
            <w:tcW w:w="3207" w:type="dxa"/>
            <w:vAlign w:val="center"/>
          </w:tcPr>
          <w:p w:rsidR="00183A00" w:rsidRDefault="00183A00" w:rsidP="000D2F4B">
            <w:pPr>
              <w:jc w:val="center"/>
              <w:rPr>
                <w:lang w:val="en-US"/>
              </w:rPr>
            </w:pPr>
            <w:r>
              <w:rPr>
                <w:lang w:val="en-US"/>
              </w:rPr>
              <w:t>EIRP = 25.2dBm</w:t>
            </w:r>
          </w:p>
        </w:tc>
        <w:tc>
          <w:tcPr>
            <w:tcW w:w="3207" w:type="dxa"/>
            <w:vAlign w:val="center"/>
          </w:tcPr>
          <w:p w:rsidR="00183A00" w:rsidRDefault="00183A00" w:rsidP="000D2F4B">
            <w:pPr>
              <w:jc w:val="center"/>
              <w:rPr>
                <w:lang w:val="en-US"/>
              </w:rPr>
            </w:pPr>
            <w:r>
              <w:rPr>
                <w:lang w:val="en-US"/>
              </w:rPr>
              <w:t>EIRP = 25.2dBm</w:t>
            </w:r>
          </w:p>
        </w:tc>
      </w:tr>
      <w:bookmarkEnd w:id="4"/>
      <w:tr w:rsidR="00183A00" w:rsidTr="00B06A1C">
        <w:trPr>
          <w:jc w:val="center"/>
        </w:trPr>
        <w:tc>
          <w:tcPr>
            <w:tcW w:w="3207" w:type="dxa"/>
            <w:vMerge w:val="restart"/>
            <w:vAlign w:val="center"/>
          </w:tcPr>
          <w:p w:rsidR="00183A00" w:rsidRDefault="00183A00" w:rsidP="000D2F4B">
            <w:pPr>
              <w:jc w:val="center"/>
              <w:rPr>
                <w:lang w:val="en-US"/>
              </w:rPr>
            </w:pPr>
            <w:r w:rsidRPr="0056269B">
              <w:rPr>
                <w:lang w:val="en-US"/>
              </w:rPr>
              <w:t>As defined in TR 38.803</w:t>
            </w:r>
          </w:p>
        </w:tc>
        <w:tc>
          <w:tcPr>
            <w:tcW w:w="3207" w:type="dxa"/>
            <w:vAlign w:val="center"/>
          </w:tcPr>
          <w:p w:rsidR="00183A00" w:rsidRDefault="00183A00" w:rsidP="000D2F4B">
            <w:pPr>
              <w:jc w:val="center"/>
              <w:rPr>
                <w:lang w:val="en-US"/>
              </w:rPr>
            </w:pPr>
            <w:r>
              <w:rPr>
                <w:lang w:val="en-US"/>
              </w:rPr>
              <w:t xml:space="preserve">Hexagonal Layout </w:t>
            </w:r>
            <w:r>
              <w:rPr>
                <w:lang w:val="en-US"/>
              </w:rPr>
              <w:br/>
              <w:t xml:space="preserve"> ISD = 200m and 300m</w:t>
            </w:r>
          </w:p>
        </w:tc>
        <w:tc>
          <w:tcPr>
            <w:tcW w:w="3207" w:type="dxa"/>
            <w:vAlign w:val="center"/>
          </w:tcPr>
          <w:p w:rsidR="00183A00" w:rsidRDefault="00183A00" w:rsidP="000D2F4B">
            <w:pPr>
              <w:jc w:val="center"/>
              <w:rPr>
                <w:lang w:val="en-US"/>
              </w:rPr>
            </w:pPr>
            <w:r>
              <w:rPr>
                <w:lang w:val="en-US"/>
              </w:rPr>
              <w:t>ISD = 300m and 400m</w:t>
            </w:r>
          </w:p>
        </w:tc>
      </w:tr>
      <w:tr w:rsidR="00183A00" w:rsidTr="00B06A1C">
        <w:trPr>
          <w:jc w:val="center"/>
        </w:trPr>
        <w:tc>
          <w:tcPr>
            <w:tcW w:w="3207" w:type="dxa"/>
            <w:vMerge/>
            <w:vAlign w:val="center"/>
          </w:tcPr>
          <w:p w:rsidR="00183A00" w:rsidRDefault="00183A00" w:rsidP="000D2F4B">
            <w:pPr>
              <w:jc w:val="center"/>
              <w:rPr>
                <w:lang w:val="en-US"/>
              </w:rPr>
            </w:pPr>
          </w:p>
        </w:tc>
        <w:tc>
          <w:tcPr>
            <w:tcW w:w="3207" w:type="dxa"/>
            <w:vAlign w:val="center"/>
          </w:tcPr>
          <w:p w:rsidR="00183A00" w:rsidRDefault="00183A00" w:rsidP="000D2F4B">
            <w:pPr>
              <w:jc w:val="center"/>
              <w:rPr>
                <w:lang w:val="en-US"/>
              </w:rPr>
            </w:pPr>
            <w:r>
              <w:rPr>
                <w:lang w:val="en-US"/>
              </w:rPr>
              <w:t>10m antenna height</w:t>
            </w:r>
          </w:p>
        </w:tc>
        <w:tc>
          <w:tcPr>
            <w:tcW w:w="3207" w:type="dxa"/>
            <w:vAlign w:val="center"/>
          </w:tcPr>
          <w:p w:rsidR="00183A00" w:rsidRDefault="00183A00" w:rsidP="000D2F4B">
            <w:pPr>
              <w:jc w:val="center"/>
              <w:rPr>
                <w:lang w:val="en-US"/>
              </w:rPr>
            </w:pPr>
            <w:r>
              <w:rPr>
                <w:lang w:val="en-US"/>
              </w:rPr>
              <w:t>25m antenna height</w:t>
            </w:r>
          </w:p>
        </w:tc>
      </w:tr>
      <w:tr w:rsidR="00183A00" w:rsidTr="00B06A1C">
        <w:trPr>
          <w:jc w:val="center"/>
        </w:trPr>
        <w:tc>
          <w:tcPr>
            <w:tcW w:w="3207" w:type="dxa"/>
            <w:vMerge/>
            <w:vAlign w:val="center"/>
          </w:tcPr>
          <w:p w:rsidR="00183A00" w:rsidRDefault="00183A00" w:rsidP="000D2F4B">
            <w:pPr>
              <w:jc w:val="center"/>
              <w:rPr>
                <w:lang w:val="en-US"/>
              </w:rPr>
            </w:pPr>
          </w:p>
        </w:tc>
        <w:tc>
          <w:tcPr>
            <w:tcW w:w="3207" w:type="dxa"/>
            <w:vAlign w:val="center"/>
          </w:tcPr>
          <w:p w:rsidR="00183A00" w:rsidRDefault="00183A00" w:rsidP="000D2F4B">
            <w:pPr>
              <w:jc w:val="center"/>
              <w:rPr>
                <w:lang w:val="en-US"/>
              </w:rPr>
            </w:pPr>
            <w:r>
              <w:rPr>
                <w:lang w:val="en-US"/>
              </w:rPr>
              <w:t xml:space="preserve">10m UE to BS </w:t>
            </w:r>
            <w:r>
              <w:rPr>
                <w:lang w:val="en-US"/>
              </w:rPr>
              <w:br/>
              <w:t>minimum 2D distance</w:t>
            </w:r>
          </w:p>
        </w:tc>
        <w:tc>
          <w:tcPr>
            <w:tcW w:w="3207" w:type="dxa"/>
            <w:vAlign w:val="center"/>
          </w:tcPr>
          <w:p w:rsidR="00183A00" w:rsidRDefault="00183A00" w:rsidP="000D2F4B">
            <w:pPr>
              <w:jc w:val="center"/>
              <w:rPr>
                <w:lang w:val="en-US"/>
              </w:rPr>
            </w:pPr>
            <w:r>
              <w:rPr>
                <w:lang w:val="en-US"/>
              </w:rPr>
              <w:t xml:space="preserve">25m UE to BS </w:t>
            </w:r>
            <w:r>
              <w:rPr>
                <w:lang w:val="en-US"/>
              </w:rPr>
              <w:br/>
              <w:t>minimum 2D distance</w:t>
            </w:r>
          </w:p>
        </w:tc>
      </w:tr>
      <w:tr w:rsidR="00183A00" w:rsidTr="00B06A1C">
        <w:trPr>
          <w:jc w:val="center"/>
        </w:trPr>
        <w:tc>
          <w:tcPr>
            <w:tcW w:w="3207" w:type="dxa"/>
            <w:vMerge/>
            <w:vAlign w:val="center"/>
          </w:tcPr>
          <w:p w:rsidR="00183A00" w:rsidRDefault="00183A00" w:rsidP="000D2F4B">
            <w:pPr>
              <w:jc w:val="center"/>
              <w:rPr>
                <w:lang w:val="en-US"/>
              </w:rPr>
            </w:pPr>
          </w:p>
        </w:tc>
        <w:tc>
          <w:tcPr>
            <w:tcW w:w="3207" w:type="dxa"/>
            <w:vAlign w:val="center"/>
          </w:tcPr>
          <w:p w:rsidR="00183A00" w:rsidRDefault="00183A00" w:rsidP="000D2F4B">
            <w:pPr>
              <w:jc w:val="center"/>
              <w:rPr>
                <w:lang w:val="en-US"/>
              </w:rPr>
            </w:pPr>
            <w:r>
              <w:rPr>
                <w:lang w:val="en-US"/>
              </w:rPr>
              <w:t xml:space="preserve">Indoor/Outdoor UE ratio </w:t>
            </w:r>
            <w:r>
              <w:rPr>
                <w:lang w:val="en-US"/>
              </w:rPr>
              <w:br/>
              <w:t>0% and 20%</w:t>
            </w:r>
          </w:p>
        </w:tc>
        <w:tc>
          <w:tcPr>
            <w:tcW w:w="3207" w:type="dxa"/>
            <w:vAlign w:val="center"/>
          </w:tcPr>
          <w:p w:rsidR="00183A00" w:rsidRDefault="00183A00" w:rsidP="000D2F4B">
            <w:pPr>
              <w:jc w:val="center"/>
              <w:rPr>
                <w:lang w:val="en-US"/>
              </w:rPr>
            </w:pPr>
            <w:r>
              <w:rPr>
                <w:lang w:val="en-US"/>
              </w:rPr>
              <w:t xml:space="preserve">Indoor/Outdoor UE ratio </w:t>
            </w:r>
            <w:r>
              <w:rPr>
                <w:lang w:val="en-US"/>
              </w:rPr>
              <w:br/>
              <w:t>0% and 20%</w:t>
            </w:r>
          </w:p>
        </w:tc>
      </w:tr>
      <w:tr w:rsidR="00183A00" w:rsidTr="00B06A1C">
        <w:trPr>
          <w:jc w:val="center"/>
        </w:trPr>
        <w:tc>
          <w:tcPr>
            <w:tcW w:w="3207" w:type="dxa"/>
            <w:vMerge/>
            <w:vAlign w:val="center"/>
          </w:tcPr>
          <w:p w:rsidR="00183A00" w:rsidRDefault="00183A00" w:rsidP="000D2F4B">
            <w:pPr>
              <w:jc w:val="center"/>
              <w:rPr>
                <w:lang w:val="en-US"/>
              </w:rPr>
            </w:pPr>
          </w:p>
        </w:tc>
        <w:tc>
          <w:tcPr>
            <w:tcW w:w="3207" w:type="dxa"/>
            <w:vAlign w:val="center"/>
          </w:tcPr>
          <w:p w:rsidR="00183A00" w:rsidRDefault="00183A00" w:rsidP="000D2F4B">
            <w:pPr>
              <w:jc w:val="center"/>
              <w:rPr>
                <w:lang w:val="en-US"/>
              </w:rPr>
            </w:pPr>
            <w:r>
              <w:rPr>
                <w:lang w:val="en-US"/>
              </w:rPr>
              <w:t>All other parameters as defined in TR 38.803</w:t>
            </w:r>
          </w:p>
        </w:tc>
        <w:tc>
          <w:tcPr>
            <w:tcW w:w="3207" w:type="dxa"/>
            <w:vAlign w:val="center"/>
          </w:tcPr>
          <w:p w:rsidR="00183A00" w:rsidRDefault="00183A00" w:rsidP="000D2F4B">
            <w:pPr>
              <w:jc w:val="center"/>
              <w:rPr>
                <w:lang w:val="en-US"/>
              </w:rPr>
            </w:pPr>
            <w:r>
              <w:rPr>
                <w:lang w:val="en-US"/>
              </w:rPr>
              <w:t>All other parameters as defined in TR 38.803</w:t>
            </w:r>
          </w:p>
        </w:tc>
      </w:tr>
      <w:bookmarkEnd w:id="5"/>
    </w:tbl>
    <w:p w:rsidR="00DD60AF" w:rsidRDefault="00DD60AF" w:rsidP="002D4D1D">
      <w:pPr>
        <w:jc w:val="both"/>
        <w:rPr>
          <w:lang w:val="en-US"/>
        </w:rPr>
      </w:pPr>
    </w:p>
    <w:p w:rsidR="00C83FBF" w:rsidRDefault="00EF4975" w:rsidP="002D4D1D">
      <w:pPr>
        <w:jc w:val="both"/>
        <w:rPr>
          <w:lang w:val="en-US"/>
        </w:rPr>
      </w:pPr>
      <w:r>
        <w:rPr>
          <w:lang w:val="en-US"/>
        </w:rPr>
        <w:t xml:space="preserve">In addition, </w:t>
      </w:r>
      <w:proofErr w:type="gramStart"/>
      <w:r>
        <w:rPr>
          <w:lang w:val="en-US"/>
        </w:rPr>
        <w:t xml:space="preserve">in </w:t>
      </w:r>
      <w:r w:rsidR="00DD60AF">
        <w:rPr>
          <w:lang w:val="en-US"/>
        </w:rPr>
        <w:t>order to</w:t>
      </w:r>
      <w:proofErr w:type="gramEnd"/>
      <w:r w:rsidR="00DD60AF">
        <w:rPr>
          <w:lang w:val="en-US"/>
        </w:rPr>
        <w:t xml:space="preserve"> </w:t>
      </w:r>
      <w:r>
        <w:rPr>
          <w:lang w:val="en-US"/>
        </w:rPr>
        <w:t xml:space="preserve">be able to </w:t>
      </w:r>
      <w:r w:rsidR="00DD60AF">
        <w:rPr>
          <w:lang w:val="en-US"/>
        </w:rPr>
        <w:t>characterize</w:t>
      </w:r>
      <w:r w:rsidRPr="00EF4975">
        <w:rPr>
          <w:lang w:val="en-US"/>
        </w:rPr>
        <w:t xml:space="preserve"> </w:t>
      </w:r>
      <w:r>
        <w:rPr>
          <w:lang w:val="en-US"/>
        </w:rPr>
        <w:t>more accurately the</w:t>
      </w:r>
      <w:r w:rsidR="00DD60AF">
        <w:rPr>
          <w:lang w:val="en-US"/>
        </w:rPr>
        <w:t xml:space="preserve"> UE behavior, the following modification to </w:t>
      </w:r>
      <w:r w:rsidR="007C5FAC">
        <w:rPr>
          <w:lang w:val="en-US"/>
        </w:rPr>
        <w:fldChar w:fldCharType="begin"/>
      </w:r>
      <w:r w:rsidR="007C5FAC">
        <w:rPr>
          <w:lang w:val="en-US"/>
        </w:rPr>
        <w:instrText xml:space="preserve"> REF _Ref503776550 \r \h </w:instrText>
      </w:r>
      <w:r w:rsidR="007C5FAC">
        <w:rPr>
          <w:lang w:val="en-US"/>
        </w:rPr>
      </w:r>
      <w:r w:rsidR="007C5FAC">
        <w:rPr>
          <w:lang w:val="en-US"/>
        </w:rPr>
        <w:fldChar w:fldCharType="separate"/>
      </w:r>
      <w:r w:rsidR="007C5FAC">
        <w:rPr>
          <w:lang w:val="en-US"/>
        </w:rPr>
        <w:t>[3]</w:t>
      </w:r>
      <w:r w:rsidR="007C5FAC">
        <w:rPr>
          <w:lang w:val="en-US"/>
        </w:rPr>
        <w:fldChar w:fldCharType="end"/>
      </w:r>
      <w:r w:rsidR="00DD60AF">
        <w:rPr>
          <w:lang w:val="en-US"/>
        </w:rPr>
        <w:t xml:space="preserve"> are considered for all deployment scenarios:</w:t>
      </w:r>
    </w:p>
    <w:p w:rsidR="00DD60AF" w:rsidRPr="00905648" w:rsidRDefault="00DD60AF" w:rsidP="00DD60AF">
      <w:pPr>
        <w:pStyle w:val="ListParagraph"/>
        <w:numPr>
          <w:ilvl w:val="0"/>
          <w:numId w:val="36"/>
        </w:numPr>
        <w:jc w:val="both"/>
        <w:rPr>
          <w:b/>
          <w:lang w:val="en-US"/>
        </w:rPr>
      </w:pPr>
      <w:r w:rsidRPr="00905648">
        <w:rPr>
          <w:b/>
          <w:lang w:val="en-US"/>
        </w:rPr>
        <w:t>UE resource allocation:</w:t>
      </w:r>
      <w:r w:rsidR="00EA0525">
        <w:rPr>
          <w:b/>
          <w:lang w:val="en-US"/>
        </w:rPr>
        <w:t xml:space="preserve"> 200MHz</w:t>
      </w:r>
    </w:p>
    <w:p w:rsidR="00DD60AF" w:rsidRPr="00905648" w:rsidRDefault="00DD60AF" w:rsidP="00DD60AF">
      <w:pPr>
        <w:pStyle w:val="ListParagraph"/>
        <w:numPr>
          <w:ilvl w:val="0"/>
          <w:numId w:val="36"/>
        </w:numPr>
        <w:jc w:val="both"/>
        <w:rPr>
          <w:b/>
          <w:lang w:val="en-US"/>
        </w:rPr>
      </w:pPr>
      <w:r w:rsidRPr="00905648">
        <w:rPr>
          <w:b/>
          <w:lang w:val="en-US"/>
        </w:rPr>
        <w:t>Power control SINR target: 22dB</w:t>
      </w:r>
    </w:p>
    <w:p w:rsidR="001214B7" w:rsidRPr="000254E8" w:rsidRDefault="00DD60AF" w:rsidP="00F33FEA">
      <w:pPr>
        <w:pStyle w:val="ListParagraph"/>
        <w:numPr>
          <w:ilvl w:val="0"/>
          <w:numId w:val="36"/>
        </w:numPr>
        <w:jc w:val="both"/>
        <w:rPr>
          <w:b/>
          <w:lang w:val="en-US"/>
        </w:rPr>
      </w:pPr>
      <w:r w:rsidRPr="00905648">
        <w:rPr>
          <w:b/>
          <w:lang w:val="en-US"/>
        </w:rPr>
        <w:t>UE elevation</w:t>
      </w:r>
      <w:r w:rsidR="003C1042">
        <w:rPr>
          <w:b/>
          <w:lang w:val="en-US"/>
        </w:rPr>
        <w:t>:</w:t>
      </w:r>
      <w:r w:rsidRPr="00905648">
        <w:rPr>
          <w:b/>
          <w:lang w:val="en-US"/>
        </w:rPr>
        <w:t xml:space="preserve"> Gaussian distribut</w:t>
      </w:r>
      <w:r w:rsidR="003C1042">
        <w:rPr>
          <w:b/>
          <w:lang w:val="en-US"/>
        </w:rPr>
        <w:t>ed</w:t>
      </w:r>
      <w:r w:rsidRPr="00905648">
        <w:rPr>
          <w:b/>
          <w:lang w:val="en-US"/>
        </w:rPr>
        <w:t xml:space="preserve"> around </w:t>
      </w:r>
      <m:oMath>
        <m:r>
          <m:rPr>
            <m:sty m:val="bi"/>
          </m:rPr>
          <w:rPr>
            <w:rFonts w:ascii="Cambria Math" w:hAnsi="Cambria Math"/>
            <w:lang w:val="en-US"/>
          </w:rPr>
          <m:t>45°</m:t>
        </m:r>
      </m:oMath>
      <w:r w:rsidRPr="00905648">
        <w:rPr>
          <w:b/>
          <w:lang w:val="en-US"/>
        </w:rPr>
        <w:t xml:space="preserve"> with a standard deviation </w:t>
      </w:r>
      <m:oMath>
        <m:r>
          <m:rPr>
            <m:sty m:val="bi"/>
          </m:rPr>
          <w:rPr>
            <w:rFonts w:ascii="Cambria Math" w:hAnsi="Cambria Math"/>
            <w:lang w:val="en-US"/>
          </w:rPr>
          <m:t>σ=10°</m:t>
        </m:r>
      </m:oMath>
    </w:p>
    <w:p w:rsidR="009175DC" w:rsidRDefault="003C1042" w:rsidP="00F33FEA">
      <w:pPr>
        <w:jc w:val="both"/>
      </w:pPr>
      <w:r>
        <w:t>At</w:t>
      </w:r>
      <w:r w:rsidR="00A23C0C">
        <w:t xml:space="preserve"> </w:t>
      </w:r>
      <w:proofErr w:type="spellStart"/>
      <w:r w:rsidR="00A23C0C">
        <w:t>millimiter</w:t>
      </w:r>
      <w:proofErr w:type="spellEnd"/>
      <w:r w:rsidR="00A23C0C">
        <w:t xml:space="preserve"> </w:t>
      </w:r>
      <w:r w:rsidR="003A317B">
        <w:t>Wave (mmW) frequencies</w:t>
      </w:r>
      <w:r w:rsidR="00A23C0C">
        <w:t>,</w:t>
      </w:r>
      <w:r w:rsidR="003A317B">
        <w:t xml:space="preserve"> losses deriving from hand blockage </w:t>
      </w:r>
      <w:r w:rsidR="00905648">
        <w:t>become relevant</w:t>
      </w:r>
      <w:r>
        <w:t>. For this reason, a further feature has been introduced in our simulations with the goal of modelling</w:t>
      </w:r>
      <w:r w:rsidR="002E7B92">
        <w:t xml:space="preserve"> </w:t>
      </w:r>
      <w:r w:rsidR="002E7B92" w:rsidRPr="00004A90">
        <w:t>a</w:t>
      </w:r>
      <w:r w:rsidR="003A317B" w:rsidRPr="00004A90">
        <w:t xml:space="preserve">n angular </w:t>
      </w:r>
      <w:r w:rsidR="002E7B92" w:rsidRPr="00004A90">
        <w:t>blockage model</w:t>
      </w:r>
      <w:r w:rsidR="002E7B92" w:rsidRPr="00905648">
        <w:rPr>
          <w:b/>
        </w:rPr>
        <w:t xml:space="preserve"> </w:t>
      </w:r>
      <w:r w:rsidRPr="003C1042">
        <w:t>whose</w:t>
      </w:r>
      <w:r w:rsidR="003A317B">
        <w:t xml:space="preserve"> details broadly discussed in </w:t>
      </w:r>
      <w:r w:rsidR="007C5FAC">
        <w:fldChar w:fldCharType="begin"/>
      </w:r>
      <w:r w:rsidR="007C5FAC">
        <w:instrText xml:space="preserve"> REF _Ref503776022 \r \h </w:instrText>
      </w:r>
      <w:r w:rsidR="007C5FAC">
        <w:fldChar w:fldCharType="separate"/>
      </w:r>
      <w:r w:rsidR="007C5FAC">
        <w:t>[2]</w:t>
      </w:r>
      <w:r w:rsidR="007C5FAC">
        <w:fldChar w:fldCharType="end"/>
      </w:r>
      <w:r w:rsidR="003A317B">
        <w:t xml:space="preserve"> and</w:t>
      </w:r>
      <w:r w:rsidR="007C5FAC">
        <w:t xml:space="preserve"> </w:t>
      </w:r>
      <w:r w:rsidR="007C5FAC">
        <w:fldChar w:fldCharType="begin"/>
      </w:r>
      <w:r w:rsidR="007C5FAC">
        <w:instrText xml:space="preserve"> REF _Ref503533875 \r \h </w:instrText>
      </w:r>
      <w:r w:rsidR="007C5FAC">
        <w:fldChar w:fldCharType="separate"/>
      </w:r>
      <w:r w:rsidR="007C5FAC">
        <w:t>[4]</w:t>
      </w:r>
      <w:r w:rsidR="007C5FAC">
        <w:fldChar w:fldCharType="end"/>
      </w:r>
      <w:r w:rsidR="003A317B">
        <w:t xml:space="preserve">. </w:t>
      </w:r>
      <w:proofErr w:type="gramStart"/>
      <w:r w:rsidR="003A317B">
        <w:t>In particular, UEs</w:t>
      </w:r>
      <w:proofErr w:type="gramEnd"/>
      <w:r w:rsidR="003A317B">
        <w:t xml:space="preserve"> were considered to be held in Portrait mode </w:t>
      </w:r>
      <w:r w:rsidR="00905648">
        <w:t xml:space="preserve">and subject to a log-normal additional loss with mean </w:t>
      </w:r>
      <m:oMath>
        <m:r>
          <w:rPr>
            <w:rFonts w:ascii="Cambria Math" w:hAnsi="Cambria Math"/>
          </w:rPr>
          <m:t>μ=15.26 dB</m:t>
        </m:r>
      </m:oMath>
      <w:r w:rsidR="00905648">
        <w:t xml:space="preserve"> and </w:t>
      </w:r>
      <w:r w:rsidR="003A317B">
        <w:t xml:space="preserve"> </w:t>
      </w:r>
      <m:oMath>
        <m:r>
          <w:rPr>
            <w:rFonts w:ascii="Cambria Math" w:hAnsi="Cambria Math"/>
          </w:rPr>
          <m:t>σ=3.8 dB</m:t>
        </m:r>
      </m:oMath>
      <w:r w:rsidR="00905648">
        <w:t xml:space="preserve">. Such mean and deviation values were derived from a fitting of a measurement campaign </w:t>
      </w:r>
      <w:r w:rsidR="007C5FAC">
        <w:fldChar w:fldCharType="begin"/>
      </w:r>
      <w:r w:rsidR="007C5FAC">
        <w:instrText xml:space="preserve"> REF _Ref503533875 \r \h </w:instrText>
      </w:r>
      <w:r w:rsidR="007C5FAC">
        <w:fldChar w:fldCharType="separate"/>
      </w:r>
      <w:r w:rsidR="007C5FAC">
        <w:t>[4]</w:t>
      </w:r>
      <w:r w:rsidR="007C5FAC">
        <w:fldChar w:fldCharType="end"/>
      </w:r>
      <w:r w:rsidR="00905648">
        <w:t xml:space="preserve"> and capture a more realistic view of diffraction loss with hand in many real use-cases.</w:t>
      </w:r>
    </w:p>
    <w:p w:rsidR="007C5FAC" w:rsidRDefault="007C5FAC" w:rsidP="00F33FEA">
      <w:pPr>
        <w:jc w:val="both"/>
      </w:pPr>
      <w:r>
        <w:t xml:space="preserve">A key assumption of this study is the methodology adopted to evaluate the impact of spherical coverage. Our methodology used throughout the paper is based on the following key points </w:t>
      </w:r>
      <w:r>
        <w:fldChar w:fldCharType="begin"/>
      </w:r>
      <w:r>
        <w:instrText xml:space="preserve"> REF _Ref503776022 \r \h </w:instrText>
      </w:r>
      <w:r>
        <w:fldChar w:fldCharType="separate"/>
      </w:r>
      <w:r>
        <w:t>[2]</w:t>
      </w:r>
      <w:r>
        <w:fldChar w:fldCharType="end"/>
      </w:r>
      <w:r>
        <w:t>:</w:t>
      </w:r>
    </w:p>
    <w:p w:rsidR="007C5FAC" w:rsidRDefault="007C5FAC" w:rsidP="001F2E0B">
      <w:pPr>
        <w:pStyle w:val="ListParagraph"/>
        <w:numPr>
          <w:ilvl w:val="0"/>
          <w:numId w:val="45"/>
        </w:numPr>
        <w:jc w:val="both"/>
      </w:pPr>
      <w:r>
        <w:t xml:space="preserve">The baseline configuration for the antenna panel is the same as </w:t>
      </w:r>
      <w:r>
        <w:fldChar w:fldCharType="begin"/>
      </w:r>
      <w:r>
        <w:instrText xml:space="preserve"> REF _Ref503776550 \r \h </w:instrText>
      </w:r>
      <w:r>
        <w:fldChar w:fldCharType="separate"/>
      </w:r>
      <w:r>
        <w:t>[3]</w:t>
      </w:r>
      <w:r>
        <w:fldChar w:fldCharType="end"/>
      </w:r>
      <w:r>
        <w:t xml:space="preserve">, i.e. an antenna panel is composed of a planar array of 2x2 patches with two </w:t>
      </w:r>
      <w:r w:rsidR="006064AB">
        <w:t>polarizations</w:t>
      </w:r>
      <w:r w:rsidR="00A23C0C">
        <w:t>.</w:t>
      </w:r>
    </w:p>
    <w:p w:rsidR="007C5FAC" w:rsidRDefault="007C5FAC" w:rsidP="001F2E0B">
      <w:pPr>
        <w:pStyle w:val="ListParagraph"/>
        <w:numPr>
          <w:ilvl w:val="0"/>
          <w:numId w:val="45"/>
        </w:numPr>
        <w:jc w:val="both"/>
      </w:pPr>
      <w:r>
        <w:t>A comparison between the following two configurations is made:</w:t>
      </w:r>
    </w:p>
    <w:p w:rsidR="007C5FAC" w:rsidRPr="00193BA1" w:rsidRDefault="006064AB" w:rsidP="007C5FAC">
      <w:pPr>
        <w:pStyle w:val="ListParagraph"/>
        <w:numPr>
          <w:ilvl w:val="1"/>
          <w:numId w:val="45"/>
        </w:numPr>
        <w:jc w:val="both"/>
      </w:pPr>
      <w:r>
        <w:t>Configuration 1</w:t>
      </w:r>
      <w:r w:rsidR="007C5FAC" w:rsidRPr="00193BA1">
        <w:t xml:space="preserve">: </w:t>
      </w:r>
      <w:r w:rsidR="007C5FAC" w:rsidRPr="001F2E0B">
        <w:rPr>
          <w:b/>
        </w:rPr>
        <w:t>both</w:t>
      </w:r>
      <w:r w:rsidR="00B42DE0">
        <w:rPr>
          <w:b/>
        </w:rPr>
        <w:t xml:space="preserve"> </w:t>
      </w:r>
      <w:r w:rsidR="007C5FAC" w:rsidRPr="001F2E0B">
        <w:rPr>
          <w:b/>
        </w:rPr>
        <w:t>panels are active</w:t>
      </w:r>
      <w:r w:rsidR="007C5FAC" w:rsidRPr="00193BA1">
        <w:t xml:space="preserve"> and UE can select the best panel</w:t>
      </w:r>
      <w:r w:rsidR="007C5FAC">
        <w:t xml:space="preserve"> (this is the default configuration adopted in TR 38.803)</w:t>
      </w:r>
      <w:r w:rsidR="00A23C0C">
        <w:t>.</w:t>
      </w:r>
    </w:p>
    <w:p w:rsidR="007C5FAC" w:rsidRPr="001F2E0B" w:rsidRDefault="006064AB" w:rsidP="007C5FAC">
      <w:pPr>
        <w:pStyle w:val="ListParagraph"/>
        <w:numPr>
          <w:ilvl w:val="1"/>
          <w:numId w:val="45"/>
        </w:numPr>
        <w:jc w:val="both"/>
      </w:pPr>
      <w:r w:rsidRPr="00230C9B">
        <w:t>Configuration 2</w:t>
      </w:r>
      <w:r w:rsidR="007C5FAC" w:rsidRPr="001F2E0B">
        <w:t xml:space="preserve">: </w:t>
      </w:r>
      <w:r w:rsidR="007C5FAC" w:rsidRPr="001F2E0B">
        <w:rPr>
          <w:b/>
        </w:rPr>
        <w:t>one panel is active</w:t>
      </w:r>
      <w:r w:rsidR="00A23C0C">
        <w:rPr>
          <w:b/>
        </w:rPr>
        <w:t>.</w:t>
      </w:r>
    </w:p>
    <w:p w:rsidR="007C5FAC" w:rsidRDefault="006064AB" w:rsidP="001F2E0B">
      <w:pPr>
        <w:pStyle w:val="ListParagraph"/>
        <w:numPr>
          <w:ilvl w:val="0"/>
          <w:numId w:val="45"/>
        </w:numPr>
        <w:jc w:val="both"/>
      </w:pPr>
      <w:r>
        <w:t>The goal is to understand the performance degradation due to the limitation of having only one panel available for transmission.</w:t>
      </w:r>
    </w:p>
    <w:p w:rsidR="007C5FAC" w:rsidRDefault="006064AB" w:rsidP="00F33FEA">
      <w:pPr>
        <w:jc w:val="both"/>
      </w:pPr>
      <w:r>
        <w:t xml:space="preserve">Finally, we </w:t>
      </w:r>
      <w:r w:rsidR="00230C9B">
        <w:t xml:space="preserve">found that an important aspect which needs to be </w:t>
      </w:r>
      <w:proofErr w:type="gramStart"/>
      <w:r w:rsidR="00230C9B">
        <w:t>taken into account</w:t>
      </w:r>
      <w:proofErr w:type="gramEnd"/>
      <w:r w:rsidR="00230C9B">
        <w:t xml:space="preserve"> is the antenna gain in the non-coverage area (back side of the array pattern). </w:t>
      </w:r>
      <w:r w:rsidR="00A23C0C">
        <w:t>If we</w:t>
      </w:r>
      <w:r w:rsidR="00230C9B">
        <w:t xml:space="preserve"> us</w:t>
      </w:r>
      <w:r w:rsidR="00A23C0C">
        <w:t>e</w:t>
      </w:r>
      <w:r w:rsidR="00230C9B">
        <w:t xml:space="preserve"> the mathematical model defined in </w:t>
      </w:r>
      <w:r w:rsidR="00230C9B">
        <w:fldChar w:fldCharType="begin"/>
      </w:r>
      <w:r w:rsidR="00230C9B">
        <w:instrText xml:space="preserve"> REF _Ref503776550 \r \h </w:instrText>
      </w:r>
      <w:r w:rsidR="00230C9B">
        <w:fldChar w:fldCharType="separate"/>
      </w:r>
      <w:r w:rsidR="00230C9B">
        <w:t>[3]</w:t>
      </w:r>
      <w:r w:rsidR="00230C9B">
        <w:fldChar w:fldCharType="end"/>
      </w:r>
      <w:r w:rsidR="00230C9B">
        <w:t>, although the front-back ratio attenuation of the element is present, a beam could be still created to point at the back of the panel (s</w:t>
      </w:r>
      <w:r w:rsidR="00C37EF5">
        <w:t>emi-sphere opposite to the bore</w:t>
      </w:r>
      <w:r w:rsidR="00230C9B">
        <w:t xml:space="preserve">sight). Since we believe this does not represent a realistic UE behaviour, we will compare the two following assumptions:  </w:t>
      </w:r>
    </w:p>
    <w:p w:rsidR="00230C9B" w:rsidRDefault="00230C9B" w:rsidP="001F2E0B">
      <w:pPr>
        <w:pStyle w:val="ListParagraph"/>
        <w:numPr>
          <w:ilvl w:val="0"/>
          <w:numId w:val="38"/>
        </w:numPr>
        <w:ind w:left="568" w:hanging="208"/>
      </w:pPr>
      <w:r w:rsidRPr="005B74F0">
        <w:rPr>
          <w:b/>
        </w:rPr>
        <w:t>Classic:</w:t>
      </w:r>
      <w:r>
        <w:t xml:space="preserve"> Same as TR 38.803</w:t>
      </w:r>
    </w:p>
    <w:p w:rsidR="00230C9B" w:rsidRDefault="00230C9B" w:rsidP="001F2E0B">
      <w:pPr>
        <w:pStyle w:val="ListParagraph"/>
        <w:numPr>
          <w:ilvl w:val="0"/>
          <w:numId w:val="38"/>
        </w:numPr>
        <w:ind w:left="568" w:hanging="208"/>
      </w:pPr>
      <w:r w:rsidRPr="005B74F0">
        <w:rPr>
          <w:b/>
        </w:rPr>
        <w:t>Flat:</w:t>
      </w:r>
      <w:r>
        <w:t xml:space="preserve"> Antenna gain is a flat -20 dB </w:t>
      </w:r>
      <w:proofErr w:type="gramStart"/>
      <w:r>
        <w:t>in order to</w:t>
      </w:r>
      <w:proofErr w:type="gramEnd"/>
      <w:r>
        <w:t xml:space="preserve"> be able to model a ground plane behind the antenna array. -20dB corresponds to the minimum single element gain.</w:t>
      </w:r>
    </w:p>
    <w:p w:rsidR="009175DC" w:rsidRDefault="009175DC" w:rsidP="009175DC">
      <w:pPr>
        <w:pStyle w:val="Heading2"/>
        <w:rPr>
          <w:lang w:val="en-US"/>
        </w:rPr>
      </w:pPr>
      <w:r>
        <w:rPr>
          <w:lang w:val="en-US"/>
        </w:rPr>
        <w:t xml:space="preserve">Simulation results </w:t>
      </w:r>
    </w:p>
    <w:p w:rsidR="00230C9B" w:rsidRDefault="00230C9B" w:rsidP="001F2E0B">
      <w:pPr>
        <w:jc w:val="both"/>
      </w:pPr>
      <w:r>
        <w:t xml:space="preserve">In the following sections, we consider simulation results for all three deployment scenarios. The focus is on the impact of </w:t>
      </w:r>
      <w:r w:rsidR="00FE3D08">
        <w:t xml:space="preserve">spherical coverage </w:t>
      </w:r>
      <w:r>
        <w:t>on NR network performance</w:t>
      </w:r>
      <w:r w:rsidR="00FE3D08">
        <w:t>, i.e. a comparison of 2 vs 1 panel configurations</w:t>
      </w:r>
      <w:r>
        <w:t>. The metric adopted are the following:</w:t>
      </w:r>
    </w:p>
    <w:p w:rsidR="00230C9B" w:rsidRDefault="00230C9B" w:rsidP="001F2E0B">
      <w:pPr>
        <w:pStyle w:val="ListParagraph"/>
        <w:numPr>
          <w:ilvl w:val="0"/>
          <w:numId w:val="47"/>
        </w:numPr>
        <w:jc w:val="both"/>
      </w:pPr>
      <w:r>
        <w:t>SINR</w:t>
      </w:r>
    </w:p>
    <w:p w:rsidR="00230C9B" w:rsidRDefault="00230C9B" w:rsidP="001F2E0B">
      <w:pPr>
        <w:pStyle w:val="ListParagraph"/>
        <w:numPr>
          <w:ilvl w:val="0"/>
          <w:numId w:val="47"/>
        </w:numPr>
        <w:jc w:val="both"/>
      </w:pPr>
      <w:r>
        <w:t>Throughput (both 50% and 5% percentiles)</w:t>
      </w:r>
    </w:p>
    <w:p w:rsidR="00230C9B" w:rsidRDefault="00230C9B" w:rsidP="001F2E0B">
      <w:pPr>
        <w:pStyle w:val="ListParagraph"/>
        <w:numPr>
          <w:ilvl w:val="0"/>
          <w:numId w:val="47"/>
        </w:numPr>
        <w:jc w:val="both"/>
      </w:pPr>
      <w:r>
        <w:t>Outage. As specified in TR 38.803 a UE is considered in outage when UL SINR is less than 10dB</w:t>
      </w:r>
    </w:p>
    <w:p w:rsidR="00FE2B91" w:rsidRDefault="00FE2B91" w:rsidP="000254E8"/>
    <w:p w:rsidR="00FE2B91" w:rsidRDefault="00FE2B91" w:rsidP="000254E8"/>
    <w:p w:rsidR="00FE2B91" w:rsidRDefault="00FE2B91" w:rsidP="000254E8"/>
    <w:p w:rsidR="00E07F34" w:rsidRDefault="009175DC" w:rsidP="001214B7">
      <w:pPr>
        <w:pStyle w:val="Heading3"/>
        <w:rPr>
          <w:lang w:val="en-US"/>
        </w:rPr>
      </w:pPr>
      <w:bookmarkStart w:id="6" w:name="_Ref498606337"/>
      <w:r w:rsidRPr="00D32E65">
        <w:rPr>
          <w:lang w:val="en-US"/>
        </w:rPr>
        <w:lastRenderedPageBreak/>
        <w:t>Results</w:t>
      </w:r>
      <w:bookmarkEnd w:id="6"/>
      <w:r w:rsidR="00EC0186" w:rsidRPr="00D32E65">
        <w:rPr>
          <w:lang w:val="en-US"/>
        </w:rPr>
        <w:t xml:space="preserve"> </w:t>
      </w:r>
      <w:proofErr w:type="spellStart"/>
      <w:r w:rsidR="00EC0186" w:rsidRPr="00D32E65">
        <w:rPr>
          <w:lang w:val="en-US"/>
        </w:rPr>
        <w:t>InH</w:t>
      </w:r>
      <w:proofErr w:type="spellEnd"/>
    </w:p>
    <w:p w:rsidR="00D32E65" w:rsidRPr="00D32E65" w:rsidRDefault="00D32E65" w:rsidP="00D32E65">
      <w:pPr>
        <w:pStyle w:val="Heading3"/>
        <w:numPr>
          <w:ilvl w:val="3"/>
          <w:numId w:val="37"/>
        </w:numPr>
        <w:rPr>
          <w:lang w:val="en-US"/>
        </w:rPr>
      </w:pPr>
      <w:bookmarkStart w:id="7" w:name="_Ref503773354"/>
      <w:proofErr w:type="spellStart"/>
      <w:r>
        <w:rPr>
          <w:lang w:val="en-US"/>
        </w:rPr>
        <w:t>InH</w:t>
      </w:r>
      <w:proofErr w:type="spellEnd"/>
      <w:r>
        <w:rPr>
          <w:lang w:val="en-US"/>
        </w:rPr>
        <w:t xml:space="preserve"> DL</w:t>
      </w:r>
      <w:bookmarkEnd w:id="7"/>
    </w:p>
    <w:p w:rsidR="006612C5" w:rsidRDefault="005B74F0" w:rsidP="001F2E0B">
      <w:pPr>
        <w:jc w:val="both"/>
        <w:rPr>
          <w:lang w:val="en-US"/>
        </w:rPr>
      </w:pPr>
      <w:r>
        <w:rPr>
          <w:lang w:val="en-US"/>
        </w:rPr>
        <w:fldChar w:fldCharType="begin"/>
      </w:r>
      <w:r>
        <w:rPr>
          <w:lang w:val="en-US"/>
        </w:rPr>
        <w:instrText xml:space="preserve"> REF _Ref498350181 \h </w:instrText>
      </w:r>
      <w:r w:rsidR="00BC38AD">
        <w:rPr>
          <w:lang w:val="en-US"/>
        </w:rPr>
        <w:instrText xml:space="preserve"> \* MERGEFORMAT </w:instrText>
      </w:r>
      <w:r>
        <w:rPr>
          <w:lang w:val="en-US"/>
        </w:rPr>
      </w:r>
      <w:r>
        <w:rPr>
          <w:lang w:val="en-US"/>
        </w:rPr>
        <w:fldChar w:fldCharType="separate"/>
      </w:r>
      <w:r w:rsidR="007C5FAC">
        <w:t xml:space="preserve">Figure </w:t>
      </w:r>
      <w:r w:rsidR="007C5FAC">
        <w:rPr>
          <w:noProof/>
        </w:rPr>
        <w:t>1</w:t>
      </w:r>
      <w:r>
        <w:rPr>
          <w:lang w:val="en-US"/>
        </w:rPr>
        <w:fldChar w:fldCharType="end"/>
      </w:r>
      <w:r w:rsidR="00525799">
        <w:rPr>
          <w:lang w:val="en-US"/>
        </w:rPr>
        <w:t xml:space="preserve"> shows the SINR Cumulative Distribution Function (CDF) in </w:t>
      </w:r>
      <w:proofErr w:type="spellStart"/>
      <w:r w:rsidR="00EA0525">
        <w:rPr>
          <w:lang w:val="en-US"/>
        </w:rPr>
        <w:t>InH</w:t>
      </w:r>
      <w:proofErr w:type="spellEnd"/>
      <w:r w:rsidR="00C6466B">
        <w:rPr>
          <w:lang w:val="en-US"/>
        </w:rPr>
        <w:t xml:space="preserve"> DL</w:t>
      </w:r>
      <w:r w:rsidR="00EA0525">
        <w:rPr>
          <w:lang w:val="en-US"/>
        </w:rPr>
        <w:t xml:space="preserve"> scenario</w:t>
      </w:r>
      <w:r w:rsidR="00525799">
        <w:rPr>
          <w:lang w:val="en-US"/>
        </w:rPr>
        <w:t xml:space="preserve">. </w:t>
      </w:r>
      <w:r w:rsidR="00391E5D">
        <w:rPr>
          <w:lang w:val="en-US"/>
        </w:rPr>
        <w:t>Spherical and semi-spherical coverage are compared</w:t>
      </w:r>
      <w:r w:rsidR="001B0832">
        <w:rPr>
          <w:lang w:val="en-US"/>
        </w:rPr>
        <w:t xml:space="preserve"> both for Classic and Flat approach. Up to 4 dB in SINR advantage with two panels in place of one for the Classic approach. On the other hand, when the Flat approach </w:t>
      </w:r>
      <w:r w:rsidR="00FE394D">
        <w:rPr>
          <w:lang w:val="en-US"/>
        </w:rPr>
        <w:t>is used, we see a gain of 7 dB in SINR between spherical and semi-spherical coverage.</w:t>
      </w:r>
    </w:p>
    <w:p w:rsidR="006612C5" w:rsidRDefault="00777276" w:rsidP="001F2E0B">
      <w:pPr>
        <w:jc w:val="both"/>
        <w:rPr>
          <w:lang w:val="en-US"/>
        </w:rPr>
      </w:pPr>
      <w:r>
        <w:rPr>
          <w:lang w:val="en-US"/>
        </w:rPr>
        <w:t>It is worth emphasizing</w:t>
      </w:r>
      <w:r w:rsidR="00D54A1E">
        <w:rPr>
          <w:lang w:val="en-US"/>
        </w:rPr>
        <w:t xml:space="preserve"> </w:t>
      </w:r>
      <w:r w:rsidR="006612C5">
        <w:rPr>
          <w:lang w:val="en-US"/>
        </w:rPr>
        <w:t xml:space="preserve">the difference in SINR between spherical and semi-spherical increases </w:t>
      </w:r>
      <w:r w:rsidR="00D54A1E">
        <w:rPr>
          <w:lang w:val="en-US"/>
        </w:rPr>
        <w:t xml:space="preserve">going </w:t>
      </w:r>
      <w:r w:rsidR="006612C5">
        <w:rPr>
          <w:lang w:val="en-US"/>
        </w:rPr>
        <w:t>from Classic to Flat approach. This is caused by cell-edge UEs that “look” at the corresponding serving BSs with an angle that belongs to the non-coverage area</w:t>
      </w:r>
      <w:r>
        <w:rPr>
          <w:lang w:val="en-US"/>
        </w:rPr>
        <w:t>, i.e. the active panel is not facing at the serving BS</w:t>
      </w:r>
      <w:r w:rsidR="006612C5">
        <w:rPr>
          <w:lang w:val="en-US"/>
        </w:rPr>
        <w:t>:</w:t>
      </w:r>
    </w:p>
    <w:p w:rsidR="008A5040" w:rsidRDefault="006612C5" w:rsidP="001F2E0B">
      <w:pPr>
        <w:pStyle w:val="ListParagraph"/>
        <w:numPr>
          <w:ilvl w:val="0"/>
          <w:numId w:val="39"/>
        </w:numPr>
        <w:jc w:val="both"/>
        <w:rPr>
          <w:lang w:val="en-US"/>
        </w:rPr>
      </w:pPr>
      <w:r>
        <w:rPr>
          <w:lang w:val="en-US"/>
        </w:rPr>
        <w:t>In the Classic approach cell-edge UEs still benefit of the beamforming gain</w:t>
      </w:r>
    </w:p>
    <w:p w:rsidR="006612C5" w:rsidRDefault="008A5040" w:rsidP="001F2E0B">
      <w:pPr>
        <w:pStyle w:val="ListParagraph"/>
        <w:numPr>
          <w:ilvl w:val="0"/>
          <w:numId w:val="39"/>
        </w:numPr>
        <w:jc w:val="both"/>
        <w:rPr>
          <w:lang w:val="en-US"/>
        </w:rPr>
      </w:pPr>
      <w:r>
        <w:rPr>
          <w:lang w:val="en-US"/>
        </w:rPr>
        <w:t>In the Flat approach cell-edge UEs have their signal power completely attenuated</w:t>
      </w:r>
    </w:p>
    <w:p w:rsidR="00C91C98" w:rsidRPr="00711987" w:rsidRDefault="00C91C98" w:rsidP="001F2E0B">
      <w:pPr>
        <w:jc w:val="both"/>
        <w:rPr>
          <w:lang w:val="en-US"/>
        </w:rPr>
      </w:pPr>
      <w:r>
        <w:rPr>
          <w:lang w:val="en-US"/>
        </w:rPr>
        <w:t>Such observations are particularly true for the semi-spherical coverage case. In fact, when UE uses two panels, it will always choose the panel that looks at the corresponding serving BS with an angle that belongs to the coverage area (front side of the array pattern)</w:t>
      </w:r>
      <w:r w:rsidRPr="00711987">
        <w:rPr>
          <w:lang w:val="en-US"/>
        </w:rPr>
        <w:t xml:space="preserve">. For this reason, </w:t>
      </w:r>
      <w:r w:rsidRPr="001F2E0B">
        <w:rPr>
          <w:lang w:val="en-US"/>
        </w:rPr>
        <w:t>the difference between Classic and Flat in a spherical coverage setting is negligible</w:t>
      </w:r>
      <w:r w:rsidRPr="00711987">
        <w:rPr>
          <w:lang w:val="en-US"/>
        </w:rPr>
        <w:t>.</w:t>
      </w:r>
    </w:p>
    <w:p w:rsidR="00DA6712" w:rsidRPr="00657486" w:rsidRDefault="00657486" w:rsidP="00DA6712">
      <w:pPr>
        <w:rPr>
          <w:lang w:val="en-US"/>
        </w:rPr>
      </w:pPr>
      <w:r>
        <w:rPr>
          <w:lang w:val="en-US"/>
        </w:rPr>
        <w:t>For</w:t>
      </w:r>
      <w:r w:rsidR="00A67186" w:rsidRPr="00657486">
        <w:rPr>
          <w:lang w:val="en-US"/>
        </w:rPr>
        <w:t xml:space="preserve"> </w:t>
      </w:r>
      <w:proofErr w:type="spellStart"/>
      <w:r w:rsidR="00A67186" w:rsidRPr="00657486">
        <w:rPr>
          <w:lang w:val="en-US"/>
        </w:rPr>
        <w:t>InH</w:t>
      </w:r>
      <w:proofErr w:type="spellEnd"/>
      <w:r w:rsidR="00A67186" w:rsidRPr="00657486">
        <w:rPr>
          <w:lang w:val="en-US"/>
        </w:rPr>
        <w:t xml:space="preserve"> scenario</w:t>
      </w:r>
      <w:r>
        <w:rPr>
          <w:lang w:val="en-US"/>
        </w:rPr>
        <w:t>, the</w:t>
      </w:r>
      <w:r w:rsidRPr="00657486">
        <w:rPr>
          <w:lang w:val="en-US"/>
        </w:rPr>
        <w:t xml:space="preserve"> maximum </w:t>
      </w:r>
      <w:r>
        <w:rPr>
          <w:lang w:val="en-US"/>
        </w:rPr>
        <w:t>DL SINR and throughput gains due to spherical coverage are reported in the following tables. The gain is computed comparing 2x2 panels with the worst single panel performance</w:t>
      </w:r>
      <w:r w:rsidR="00DA6712" w:rsidRPr="00657486">
        <w:rPr>
          <w:lang w:val="en-US"/>
        </w:rPr>
        <w:t>:</w:t>
      </w:r>
    </w:p>
    <w:tbl>
      <w:tblPr>
        <w:tblW w:w="9630" w:type="dxa"/>
        <w:jc w:val="center"/>
        <w:tblLook w:val="04A0" w:firstRow="1" w:lastRow="0" w:firstColumn="1" w:lastColumn="0" w:noHBand="0" w:noVBand="1"/>
      </w:tblPr>
      <w:tblGrid>
        <w:gridCol w:w="3330"/>
        <w:gridCol w:w="2880"/>
        <w:gridCol w:w="3420"/>
      </w:tblGrid>
      <w:tr w:rsidR="00E46CFC" w:rsidRPr="00657486" w:rsidTr="00C8154D">
        <w:trPr>
          <w:trHeight w:val="330"/>
          <w:jc w:val="center"/>
        </w:trPr>
        <w:tc>
          <w:tcPr>
            <w:tcW w:w="3330" w:type="dxa"/>
            <w:tcBorders>
              <w:top w:val="nil"/>
              <w:left w:val="nil"/>
              <w:bottom w:val="nil"/>
              <w:right w:val="nil"/>
            </w:tcBorders>
            <w:shd w:val="clear" w:color="auto" w:fill="auto"/>
            <w:noWrap/>
            <w:vAlign w:val="bottom"/>
            <w:hideMark/>
          </w:tcPr>
          <w:p w:rsidR="00E46CFC" w:rsidRPr="00657486" w:rsidRDefault="00E46CFC" w:rsidP="00E14C45">
            <w:pPr>
              <w:spacing w:after="0"/>
              <w:rPr>
                <w:szCs w:val="24"/>
                <w:lang w:val="en-US"/>
              </w:rPr>
            </w:pPr>
          </w:p>
        </w:tc>
        <w:tc>
          <w:tcPr>
            <w:tcW w:w="630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46CFC" w:rsidRPr="00657486" w:rsidRDefault="00E46CFC" w:rsidP="00E14C45">
            <w:pPr>
              <w:spacing w:after="0"/>
              <w:jc w:val="center"/>
              <w:rPr>
                <w:b/>
                <w:bCs/>
                <w:color w:val="000000"/>
                <w:szCs w:val="24"/>
                <w:lang w:val="en-US"/>
              </w:rPr>
            </w:pPr>
            <w:r w:rsidRPr="00657486">
              <w:rPr>
                <w:b/>
                <w:bCs/>
                <w:color w:val="000000"/>
                <w:szCs w:val="24"/>
                <w:lang w:val="en-US"/>
              </w:rPr>
              <w:t xml:space="preserve">SINR </w:t>
            </w:r>
            <w:r w:rsidR="00EB0725" w:rsidRPr="00657486">
              <w:rPr>
                <w:b/>
                <w:bCs/>
                <w:color w:val="000000"/>
                <w:szCs w:val="24"/>
                <w:lang w:val="en-US"/>
              </w:rPr>
              <w:t xml:space="preserve">maximum </w:t>
            </w:r>
            <w:r w:rsidRPr="00657486">
              <w:rPr>
                <w:b/>
                <w:bCs/>
                <w:color w:val="000000"/>
                <w:szCs w:val="24"/>
                <w:lang w:val="en-US"/>
              </w:rPr>
              <w:t>gain [dB] of spherical versus semi-spherical</w:t>
            </w:r>
          </w:p>
        </w:tc>
      </w:tr>
      <w:tr w:rsidR="00E46CFC" w:rsidRPr="00657486" w:rsidTr="00C8154D">
        <w:trPr>
          <w:trHeight w:val="330"/>
          <w:jc w:val="center"/>
        </w:trPr>
        <w:tc>
          <w:tcPr>
            <w:tcW w:w="3330" w:type="dxa"/>
            <w:tcBorders>
              <w:top w:val="single" w:sz="8" w:space="0" w:color="auto"/>
              <w:left w:val="single" w:sz="8" w:space="0" w:color="auto"/>
              <w:bottom w:val="single" w:sz="8" w:space="0" w:color="auto"/>
              <w:right w:val="nil"/>
            </w:tcBorders>
            <w:shd w:val="clear" w:color="auto" w:fill="auto"/>
            <w:noWrap/>
            <w:vAlign w:val="bottom"/>
            <w:hideMark/>
          </w:tcPr>
          <w:p w:rsidR="00E46CFC" w:rsidRPr="00657486" w:rsidRDefault="00E46CFC" w:rsidP="00E14C45">
            <w:pPr>
              <w:spacing w:after="0"/>
              <w:jc w:val="center"/>
              <w:rPr>
                <w:b/>
                <w:bCs/>
                <w:color w:val="000000"/>
                <w:szCs w:val="24"/>
                <w:lang w:val="en-US"/>
              </w:rPr>
            </w:pPr>
            <w:r w:rsidRPr="00657486">
              <w:rPr>
                <w:b/>
                <w:bCs/>
                <w:color w:val="000000"/>
                <w:szCs w:val="24"/>
                <w:lang w:val="en-US"/>
              </w:rPr>
              <w:t>Approach</w:t>
            </w:r>
          </w:p>
        </w:tc>
        <w:tc>
          <w:tcPr>
            <w:tcW w:w="2880" w:type="dxa"/>
            <w:tcBorders>
              <w:top w:val="nil"/>
              <w:left w:val="single" w:sz="8" w:space="0" w:color="auto"/>
              <w:bottom w:val="single" w:sz="8" w:space="0" w:color="auto"/>
              <w:right w:val="single" w:sz="4" w:space="0" w:color="auto"/>
            </w:tcBorders>
            <w:shd w:val="clear" w:color="auto" w:fill="auto"/>
            <w:noWrap/>
            <w:vAlign w:val="bottom"/>
            <w:hideMark/>
          </w:tcPr>
          <w:p w:rsidR="00E46CFC" w:rsidRPr="00657486" w:rsidRDefault="00E46CFC" w:rsidP="00E14C45">
            <w:pPr>
              <w:spacing w:after="0"/>
              <w:jc w:val="center"/>
              <w:rPr>
                <w:b/>
                <w:bCs/>
                <w:color w:val="000000"/>
                <w:szCs w:val="24"/>
                <w:lang w:val="en-US"/>
              </w:rPr>
            </w:pPr>
            <w:r w:rsidRPr="00657486">
              <w:rPr>
                <w:b/>
                <w:bCs/>
                <w:color w:val="000000"/>
                <w:szCs w:val="24"/>
                <w:lang w:val="en-US"/>
              </w:rPr>
              <w:t>50%-tile</w:t>
            </w:r>
          </w:p>
        </w:tc>
        <w:tc>
          <w:tcPr>
            <w:tcW w:w="3420" w:type="dxa"/>
            <w:tcBorders>
              <w:top w:val="nil"/>
              <w:left w:val="nil"/>
              <w:bottom w:val="single" w:sz="8" w:space="0" w:color="auto"/>
              <w:right w:val="single" w:sz="8" w:space="0" w:color="auto"/>
            </w:tcBorders>
            <w:shd w:val="clear" w:color="auto" w:fill="auto"/>
            <w:noWrap/>
            <w:vAlign w:val="bottom"/>
            <w:hideMark/>
          </w:tcPr>
          <w:p w:rsidR="00E46CFC" w:rsidRPr="00657486" w:rsidRDefault="00E46CFC" w:rsidP="00E14C45">
            <w:pPr>
              <w:spacing w:after="0"/>
              <w:jc w:val="center"/>
              <w:rPr>
                <w:b/>
                <w:bCs/>
                <w:color w:val="000000"/>
                <w:szCs w:val="24"/>
                <w:lang w:val="en-US"/>
              </w:rPr>
            </w:pPr>
            <w:r w:rsidRPr="00657486">
              <w:rPr>
                <w:b/>
                <w:bCs/>
                <w:color w:val="000000"/>
                <w:szCs w:val="24"/>
                <w:lang w:val="en-US"/>
              </w:rPr>
              <w:t>5%-tile</w:t>
            </w:r>
          </w:p>
        </w:tc>
      </w:tr>
      <w:tr w:rsidR="00E46CFC" w:rsidRPr="00657486" w:rsidTr="00C8154D">
        <w:trPr>
          <w:trHeight w:val="330"/>
          <w:jc w:val="center"/>
        </w:trPr>
        <w:tc>
          <w:tcPr>
            <w:tcW w:w="3330" w:type="dxa"/>
            <w:tcBorders>
              <w:top w:val="nil"/>
              <w:left w:val="single" w:sz="8" w:space="0" w:color="auto"/>
              <w:bottom w:val="single" w:sz="8" w:space="0" w:color="auto"/>
              <w:right w:val="nil"/>
            </w:tcBorders>
            <w:shd w:val="clear" w:color="auto" w:fill="auto"/>
            <w:noWrap/>
            <w:vAlign w:val="bottom"/>
            <w:hideMark/>
          </w:tcPr>
          <w:p w:rsidR="00E46CFC" w:rsidRPr="00657486" w:rsidRDefault="00E46CFC" w:rsidP="00E14C45">
            <w:pPr>
              <w:spacing w:after="0"/>
              <w:jc w:val="center"/>
              <w:rPr>
                <w:b/>
                <w:bCs/>
                <w:color w:val="000000"/>
                <w:szCs w:val="24"/>
                <w:lang w:val="en-US"/>
              </w:rPr>
            </w:pPr>
            <w:r w:rsidRPr="00657486">
              <w:rPr>
                <w:b/>
                <w:bCs/>
                <w:color w:val="000000"/>
                <w:szCs w:val="24"/>
                <w:lang w:val="en-US"/>
              </w:rPr>
              <w:t>Classic</w:t>
            </w:r>
          </w:p>
        </w:tc>
        <w:tc>
          <w:tcPr>
            <w:tcW w:w="2880" w:type="dxa"/>
            <w:tcBorders>
              <w:top w:val="nil"/>
              <w:left w:val="single" w:sz="8" w:space="0" w:color="auto"/>
              <w:bottom w:val="single" w:sz="8" w:space="0" w:color="auto"/>
              <w:right w:val="single" w:sz="4" w:space="0" w:color="auto"/>
            </w:tcBorders>
            <w:shd w:val="clear" w:color="auto" w:fill="auto"/>
            <w:noWrap/>
            <w:vAlign w:val="bottom"/>
            <w:hideMark/>
          </w:tcPr>
          <w:p w:rsidR="00E46CFC" w:rsidRPr="00657486" w:rsidRDefault="00E46CFC" w:rsidP="00E14C45">
            <w:pPr>
              <w:spacing w:after="0"/>
              <w:jc w:val="center"/>
              <w:rPr>
                <w:color w:val="000000"/>
                <w:szCs w:val="24"/>
                <w:lang w:val="en-US"/>
              </w:rPr>
            </w:pPr>
            <w:r w:rsidRPr="00657486">
              <w:rPr>
                <w:color w:val="000000"/>
                <w:szCs w:val="24"/>
                <w:lang w:val="en-US"/>
              </w:rPr>
              <w:t>4</w:t>
            </w:r>
          </w:p>
        </w:tc>
        <w:tc>
          <w:tcPr>
            <w:tcW w:w="3420" w:type="dxa"/>
            <w:tcBorders>
              <w:top w:val="nil"/>
              <w:left w:val="single" w:sz="8" w:space="0" w:color="auto"/>
              <w:bottom w:val="single" w:sz="8" w:space="0" w:color="auto"/>
              <w:right w:val="single" w:sz="8" w:space="0" w:color="auto"/>
            </w:tcBorders>
            <w:shd w:val="clear" w:color="auto" w:fill="auto"/>
            <w:noWrap/>
            <w:vAlign w:val="bottom"/>
            <w:hideMark/>
          </w:tcPr>
          <w:p w:rsidR="00E46CFC" w:rsidRPr="00657486" w:rsidRDefault="00E46CFC" w:rsidP="00E14C45">
            <w:pPr>
              <w:spacing w:after="0"/>
              <w:jc w:val="center"/>
              <w:rPr>
                <w:color w:val="000000"/>
                <w:szCs w:val="24"/>
                <w:lang w:val="en-US"/>
              </w:rPr>
            </w:pPr>
            <w:r w:rsidRPr="00657486">
              <w:rPr>
                <w:color w:val="000000"/>
                <w:szCs w:val="24"/>
                <w:lang w:val="en-US"/>
              </w:rPr>
              <w:t>3.6</w:t>
            </w:r>
          </w:p>
        </w:tc>
      </w:tr>
      <w:tr w:rsidR="00E46CFC" w:rsidRPr="00657486" w:rsidTr="00C8154D">
        <w:trPr>
          <w:trHeight w:val="330"/>
          <w:jc w:val="center"/>
        </w:trPr>
        <w:tc>
          <w:tcPr>
            <w:tcW w:w="3330" w:type="dxa"/>
            <w:tcBorders>
              <w:top w:val="nil"/>
              <w:left w:val="single" w:sz="8" w:space="0" w:color="auto"/>
              <w:bottom w:val="single" w:sz="4" w:space="0" w:color="auto"/>
              <w:right w:val="nil"/>
            </w:tcBorders>
            <w:shd w:val="clear" w:color="auto" w:fill="auto"/>
            <w:noWrap/>
            <w:vAlign w:val="bottom"/>
            <w:hideMark/>
          </w:tcPr>
          <w:p w:rsidR="00E46CFC" w:rsidRPr="00657486" w:rsidRDefault="00E46CFC" w:rsidP="00E14C45">
            <w:pPr>
              <w:spacing w:after="0"/>
              <w:jc w:val="center"/>
              <w:rPr>
                <w:b/>
                <w:bCs/>
                <w:color w:val="000000"/>
                <w:szCs w:val="24"/>
                <w:lang w:val="en-US"/>
              </w:rPr>
            </w:pPr>
            <w:r w:rsidRPr="00657486">
              <w:rPr>
                <w:b/>
                <w:bCs/>
                <w:color w:val="000000"/>
                <w:szCs w:val="24"/>
                <w:lang w:val="en-US"/>
              </w:rPr>
              <w:t>Flat</w:t>
            </w:r>
          </w:p>
        </w:tc>
        <w:tc>
          <w:tcPr>
            <w:tcW w:w="2880" w:type="dxa"/>
            <w:tcBorders>
              <w:top w:val="nil"/>
              <w:left w:val="single" w:sz="8" w:space="0" w:color="auto"/>
              <w:bottom w:val="single" w:sz="4" w:space="0" w:color="auto"/>
              <w:right w:val="single" w:sz="4" w:space="0" w:color="auto"/>
            </w:tcBorders>
            <w:shd w:val="clear" w:color="auto" w:fill="auto"/>
            <w:noWrap/>
            <w:vAlign w:val="bottom"/>
            <w:hideMark/>
          </w:tcPr>
          <w:p w:rsidR="00E46CFC" w:rsidRPr="00657486" w:rsidRDefault="00E46CFC" w:rsidP="00E14C45">
            <w:pPr>
              <w:spacing w:after="0"/>
              <w:jc w:val="center"/>
              <w:rPr>
                <w:color w:val="000000"/>
                <w:szCs w:val="24"/>
                <w:lang w:val="en-US"/>
              </w:rPr>
            </w:pPr>
            <w:r w:rsidRPr="00657486">
              <w:rPr>
                <w:color w:val="000000"/>
                <w:szCs w:val="24"/>
                <w:lang w:val="en-US"/>
              </w:rPr>
              <w:t>7</w:t>
            </w:r>
          </w:p>
        </w:tc>
        <w:tc>
          <w:tcPr>
            <w:tcW w:w="3420" w:type="dxa"/>
            <w:tcBorders>
              <w:top w:val="nil"/>
              <w:left w:val="single" w:sz="8" w:space="0" w:color="auto"/>
              <w:bottom w:val="single" w:sz="4" w:space="0" w:color="auto"/>
              <w:right w:val="single" w:sz="8" w:space="0" w:color="auto"/>
            </w:tcBorders>
            <w:shd w:val="clear" w:color="auto" w:fill="auto"/>
            <w:noWrap/>
            <w:vAlign w:val="bottom"/>
            <w:hideMark/>
          </w:tcPr>
          <w:p w:rsidR="00E46CFC" w:rsidRPr="00657486" w:rsidRDefault="00E46CFC" w:rsidP="00E14C45">
            <w:pPr>
              <w:spacing w:after="0"/>
              <w:jc w:val="center"/>
              <w:rPr>
                <w:color w:val="000000"/>
                <w:szCs w:val="24"/>
                <w:lang w:val="en-US"/>
              </w:rPr>
            </w:pPr>
            <w:r w:rsidRPr="00657486">
              <w:rPr>
                <w:color w:val="000000"/>
                <w:szCs w:val="24"/>
                <w:lang w:val="en-US"/>
              </w:rPr>
              <w:t>9.5</w:t>
            </w:r>
          </w:p>
        </w:tc>
      </w:tr>
    </w:tbl>
    <w:p w:rsidR="00E46CFC" w:rsidRPr="00657486" w:rsidRDefault="00E46CFC" w:rsidP="00DA6712">
      <w:pPr>
        <w:rPr>
          <w:b/>
          <w:i/>
          <w:sz w:val="18"/>
          <w:lang w:val="en-US"/>
        </w:rPr>
      </w:pPr>
    </w:p>
    <w:tbl>
      <w:tblPr>
        <w:tblW w:w="9630" w:type="dxa"/>
        <w:jc w:val="center"/>
        <w:tblLook w:val="04A0" w:firstRow="1" w:lastRow="0" w:firstColumn="1" w:lastColumn="0" w:noHBand="0" w:noVBand="1"/>
      </w:tblPr>
      <w:tblGrid>
        <w:gridCol w:w="3330"/>
        <w:gridCol w:w="2880"/>
        <w:gridCol w:w="3420"/>
      </w:tblGrid>
      <w:tr w:rsidR="00E14C45" w:rsidRPr="00657486" w:rsidTr="00C8154D">
        <w:trPr>
          <w:trHeight w:val="330"/>
          <w:jc w:val="center"/>
        </w:trPr>
        <w:tc>
          <w:tcPr>
            <w:tcW w:w="3330" w:type="dxa"/>
            <w:tcBorders>
              <w:top w:val="nil"/>
              <w:left w:val="nil"/>
              <w:bottom w:val="nil"/>
              <w:right w:val="nil"/>
            </w:tcBorders>
            <w:shd w:val="clear" w:color="auto" w:fill="auto"/>
            <w:noWrap/>
            <w:vAlign w:val="bottom"/>
            <w:hideMark/>
          </w:tcPr>
          <w:p w:rsidR="00E14C45" w:rsidRPr="00657486" w:rsidRDefault="00E14C45" w:rsidP="00E14C45">
            <w:pPr>
              <w:spacing w:after="0"/>
              <w:rPr>
                <w:szCs w:val="24"/>
                <w:lang w:val="en-US"/>
              </w:rPr>
            </w:pPr>
          </w:p>
        </w:tc>
        <w:tc>
          <w:tcPr>
            <w:tcW w:w="630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14C45" w:rsidRPr="00657486" w:rsidRDefault="00E14C45" w:rsidP="00E14C45">
            <w:pPr>
              <w:spacing w:after="0"/>
              <w:jc w:val="center"/>
              <w:rPr>
                <w:b/>
                <w:bCs/>
                <w:color w:val="000000"/>
                <w:szCs w:val="24"/>
                <w:lang w:val="en-US"/>
              </w:rPr>
            </w:pPr>
            <w:r w:rsidRPr="00657486">
              <w:rPr>
                <w:b/>
                <w:bCs/>
                <w:color w:val="000000"/>
                <w:szCs w:val="24"/>
                <w:lang w:val="en-US"/>
              </w:rPr>
              <w:t>Throug</w:t>
            </w:r>
            <w:r w:rsidR="005B2326" w:rsidRPr="00657486">
              <w:rPr>
                <w:b/>
                <w:bCs/>
                <w:color w:val="000000"/>
                <w:szCs w:val="24"/>
                <w:lang w:val="en-US"/>
              </w:rPr>
              <w:t>h</w:t>
            </w:r>
            <w:r w:rsidRPr="00657486">
              <w:rPr>
                <w:b/>
                <w:bCs/>
                <w:color w:val="000000"/>
                <w:szCs w:val="24"/>
                <w:lang w:val="en-US"/>
              </w:rPr>
              <w:t>put maximum gain of spherical versus semi-spherical</w:t>
            </w:r>
          </w:p>
        </w:tc>
      </w:tr>
      <w:tr w:rsidR="00E14C45" w:rsidRPr="00657486" w:rsidTr="00C8154D">
        <w:trPr>
          <w:trHeight w:val="330"/>
          <w:jc w:val="center"/>
        </w:trPr>
        <w:tc>
          <w:tcPr>
            <w:tcW w:w="3330" w:type="dxa"/>
            <w:tcBorders>
              <w:top w:val="single" w:sz="8" w:space="0" w:color="auto"/>
              <w:left w:val="single" w:sz="8" w:space="0" w:color="auto"/>
              <w:bottom w:val="single" w:sz="8" w:space="0" w:color="auto"/>
              <w:right w:val="nil"/>
            </w:tcBorders>
            <w:shd w:val="clear" w:color="auto" w:fill="auto"/>
            <w:noWrap/>
            <w:vAlign w:val="bottom"/>
            <w:hideMark/>
          </w:tcPr>
          <w:p w:rsidR="00E14C45" w:rsidRPr="00657486" w:rsidRDefault="00E14C45" w:rsidP="00E14C45">
            <w:pPr>
              <w:spacing w:after="0"/>
              <w:jc w:val="center"/>
              <w:rPr>
                <w:b/>
                <w:bCs/>
                <w:color w:val="000000"/>
                <w:szCs w:val="24"/>
                <w:lang w:val="en-US"/>
              </w:rPr>
            </w:pPr>
            <w:r w:rsidRPr="00657486">
              <w:rPr>
                <w:b/>
                <w:bCs/>
                <w:color w:val="000000"/>
                <w:szCs w:val="24"/>
                <w:lang w:val="en-US"/>
              </w:rPr>
              <w:t>Approach</w:t>
            </w:r>
          </w:p>
        </w:tc>
        <w:tc>
          <w:tcPr>
            <w:tcW w:w="2880" w:type="dxa"/>
            <w:tcBorders>
              <w:top w:val="nil"/>
              <w:left w:val="single" w:sz="8" w:space="0" w:color="auto"/>
              <w:bottom w:val="single" w:sz="8" w:space="0" w:color="auto"/>
              <w:right w:val="single" w:sz="4" w:space="0" w:color="auto"/>
            </w:tcBorders>
            <w:shd w:val="clear" w:color="auto" w:fill="auto"/>
            <w:noWrap/>
            <w:vAlign w:val="bottom"/>
            <w:hideMark/>
          </w:tcPr>
          <w:p w:rsidR="00E14C45" w:rsidRPr="00657486" w:rsidRDefault="00E14C45" w:rsidP="00E14C45">
            <w:pPr>
              <w:spacing w:after="0"/>
              <w:jc w:val="center"/>
              <w:rPr>
                <w:b/>
                <w:bCs/>
                <w:color w:val="000000"/>
                <w:szCs w:val="24"/>
                <w:lang w:val="en-US"/>
              </w:rPr>
            </w:pPr>
            <w:r w:rsidRPr="00657486">
              <w:rPr>
                <w:b/>
                <w:bCs/>
                <w:color w:val="000000"/>
                <w:szCs w:val="24"/>
                <w:lang w:val="en-US"/>
              </w:rPr>
              <w:t>50%-tile</w:t>
            </w:r>
          </w:p>
        </w:tc>
        <w:tc>
          <w:tcPr>
            <w:tcW w:w="3420" w:type="dxa"/>
            <w:tcBorders>
              <w:top w:val="nil"/>
              <w:left w:val="nil"/>
              <w:bottom w:val="single" w:sz="8" w:space="0" w:color="auto"/>
              <w:right w:val="single" w:sz="8" w:space="0" w:color="auto"/>
            </w:tcBorders>
            <w:shd w:val="clear" w:color="auto" w:fill="auto"/>
            <w:noWrap/>
            <w:vAlign w:val="bottom"/>
            <w:hideMark/>
          </w:tcPr>
          <w:p w:rsidR="00E14C45" w:rsidRPr="00657486" w:rsidRDefault="00E14C45" w:rsidP="00E14C45">
            <w:pPr>
              <w:spacing w:after="0"/>
              <w:jc w:val="center"/>
              <w:rPr>
                <w:b/>
                <w:bCs/>
                <w:color w:val="000000"/>
                <w:szCs w:val="24"/>
                <w:lang w:val="en-US"/>
              </w:rPr>
            </w:pPr>
            <w:r w:rsidRPr="00657486">
              <w:rPr>
                <w:b/>
                <w:bCs/>
                <w:color w:val="000000"/>
                <w:szCs w:val="24"/>
                <w:lang w:val="en-US"/>
              </w:rPr>
              <w:t>5%-tile</w:t>
            </w:r>
          </w:p>
        </w:tc>
      </w:tr>
      <w:tr w:rsidR="00E14C45" w:rsidRPr="00657486" w:rsidTr="00C8154D">
        <w:trPr>
          <w:trHeight w:val="330"/>
          <w:jc w:val="center"/>
        </w:trPr>
        <w:tc>
          <w:tcPr>
            <w:tcW w:w="3330" w:type="dxa"/>
            <w:tcBorders>
              <w:top w:val="nil"/>
              <w:left w:val="single" w:sz="8" w:space="0" w:color="auto"/>
              <w:bottom w:val="single" w:sz="8" w:space="0" w:color="auto"/>
              <w:right w:val="nil"/>
            </w:tcBorders>
            <w:shd w:val="clear" w:color="auto" w:fill="auto"/>
            <w:noWrap/>
            <w:vAlign w:val="bottom"/>
            <w:hideMark/>
          </w:tcPr>
          <w:p w:rsidR="00E14C45" w:rsidRPr="00657486" w:rsidRDefault="00E14C45" w:rsidP="00E14C45">
            <w:pPr>
              <w:spacing w:after="0"/>
              <w:jc w:val="center"/>
              <w:rPr>
                <w:b/>
                <w:bCs/>
                <w:color w:val="000000"/>
                <w:szCs w:val="24"/>
                <w:lang w:val="en-US"/>
              </w:rPr>
            </w:pPr>
            <w:r w:rsidRPr="00657486">
              <w:rPr>
                <w:b/>
                <w:bCs/>
                <w:color w:val="000000"/>
                <w:szCs w:val="24"/>
                <w:lang w:val="en-US"/>
              </w:rPr>
              <w:t>Classic</w:t>
            </w:r>
          </w:p>
        </w:tc>
        <w:tc>
          <w:tcPr>
            <w:tcW w:w="2880" w:type="dxa"/>
            <w:tcBorders>
              <w:top w:val="nil"/>
              <w:left w:val="single" w:sz="8" w:space="0" w:color="auto"/>
              <w:bottom w:val="single" w:sz="8" w:space="0" w:color="auto"/>
              <w:right w:val="single" w:sz="4" w:space="0" w:color="auto"/>
            </w:tcBorders>
            <w:shd w:val="clear" w:color="auto" w:fill="auto"/>
            <w:noWrap/>
            <w:hideMark/>
          </w:tcPr>
          <w:p w:rsidR="00E14C45" w:rsidRPr="00657486" w:rsidRDefault="00E14C45" w:rsidP="00E14C45">
            <w:pPr>
              <w:spacing w:after="0"/>
              <w:jc w:val="center"/>
              <w:rPr>
                <w:color w:val="000000"/>
                <w:szCs w:val="24"/>
                <w:lang w:val="en-US"/>
              </w:rPr>
            </w:pPr>
            <w:r w:rsidRPr="00657486">
              <w:rPr>
                <w:color w:val="000000"/>
                <w:szCs w:val="24"/>
                <w:lang w:val="en-US"/>
              </w:rPr>
              <w:t>1</w:t>
            </w:r>
            <w:r w:rsidR="009F0EEE" w:rsidRPr="00657486">
              <w:rPr>
                <w:color w:val="000000"/>
                <w:szCs w:val="24"/>
                <w:lang w:val="en-US"/>
              </w:rPr>
              <w:t>5%</w:t>
            </w:r>
          </w:p>
        </w:tc>
        <w:tc>
          <w:tcPr>
            <w:tcW w:w="3420" w:type="dxa"/>
            <w:tcBorders>
              <w:top w:val="nil"/>
              <w:left w:val="single" w:sz="8" w:space="0" w:color="auto"/>
              <w:bottom w:val="single" w:sz="8" w:space="0" w:color="auto"/>
              <w:right w:val="single" w:sz="8" w:space="0" w:color="auto"/>
            </w:tcBorders>
            <w:shd w:val="clear" w:color="auto" w:fill="auto"/>
            <w:noWrap/>
            <w:hideMark/>
          </w:tcPr>
          <w:p w:rsidR="00E14C45" w:rsidRPr="00657486" w:rsidRDefault="009F0EEE" w:rsidP="00E14C45">
            <w:pPr>
              <w:spacing w:after="0"/>
              <w:jc w:val="center"/>
              <w:rPr>
                <w:color w:val="000000"/>
                <w:szCs w:val="24"/>
                <w:lang w:val="en-US"/>
              </w:rPr>
            </w:pPr>
            <w:r w:rsidRPr="00657486">
              <w:rPr>
                <w:color w:val="000000"/>
                <w:szCs w:val="24"/>
                <w:lang w:val="en-US"/>
              </w:rPr>
              <w:t>30%</w:t>
            </w:r>
          </w:p>
        </w:tc>
      </w:tr>
      <w:tr w:rsidR="00E14C45" w:rsidRPr="00657486" w:rsidTr="00C8154D">
        <w:trPr>
          <w:trHeight w:val="330"/>
          <w:jc w:val="center"/>
        </w:trPr>
        <w:tc>
          <w:tcPr>
            <w:tcW w:w="3330" w:type="dxa"/>
            <w:tcBorders>
              <w:top w:val="nil"/>
              <w:left w:val="single" w:sz="8" w:space="0" w:color="auto"/>
              <w:bottom w:val="single" w:sz="4" w:space="0" w:color="auto"/>
              <w:right w:val="nil"/>
            </w:tcBorders>
            <w:shd w:val="clear" w:color="auto" w:fill="auto"/>
            <w:noWrap/>
            <w:vAlign w:val="bottom"/>
            <w:hideMark/>
          </w:tcPr>
          <w:p w:rsidR="00E14C45" w:rsidRPr="00657486" w:rsidRDefault="00E14C45" w:rsidP="00E14C45">
            <w:pPr>
              <w:spacing w:after="0"/>
              <w:jc w:val="center"/>
              <w:rPr>
                <w:b/>
                <w:bCs/>
                <w:color w:val="000000"/>
                <w:szCs w:val="24"/>
                <w:lang w:val="en-US"/>
              </w:rPr>
            </w:pPr>
            <w:r w:rsidRPr="00657486">
              <w:rPr>
                <w:b/>
                <w:bCs/>
                <w:color w:val="000000"/>
                <w:szCs w:val="24"/>
                <w:lang w:val="en-US"/>
              </w:rPr>
              <w:t>Flat</w:t>
            </w:r>
          </w:p>
        </w:tc>
        <w:tc>
          <w:tcPr>
            <w:tcW w:w="2880" w:type="dxa"/>
            <w:tcBorders>
              <w:top w:val="nil"/>
              <w:left w:val="single" w:sz="8" w:space="0" w:color="auto"/>
              <w:bottom w:val="single" w:sz="4" w:space="0" w:color="auto"/>
              <w:right w:val="single" w:sz="4" w:space="0" w:color="auto"/>
            </w:tcBorders>
            <w:shd w:val="clear" w:color="auto" w:fill="auto"/>
            <w:noWrap/>
            <w:hideMark/>
          </w:tcPr>
          <w:p w:rsidR="00E14C45" w:rsidRPr="00657486" w:rsidRDefault="009F0EEE" w:rsidP="00E14C45">
            <w:pPr>
              <w:spacing w:after="0"/>
              <w:jc w:val="center"/>
              <w:rPr>
                <w:color w:val="000000"/>
                <w:szCs w:val="24"/>
                <w:lang w:val="en-US"/>
              </w:rPr>
            </w:pPr>
            <w:r w:rsidRPr="00657486">
              <w:rPr>
                <w:color w:val="000000"/>
                <w:szCs w:val="24"/>
                <w:lang w:val="en-US"/>
              </w:rPr>
              <w:t>25%</w:t>
            </w:r>
          </w:p>
        </w:tc>
        <w:tc>
          <w:tcPr>
            <w:tcW w:w="3420" w:type="dxa"/>
            <w:tcBorders>
              <w:top w:val="nil"/>
              <w:left w:val="single" w:sz="8" w:space="0" w:color="auto"/>
              <w:bottom w:val="single" w:sz="4" w:space="0" w:color="auto"/>
              <w:right w:val="single" w:sz="8" w:space="0" w:color="auto"/>
            </w:tcBorders>
            <w:shd w:val="clear" w:color="auto" w:fill="auto"/>
            <w:noWrap/>
            <w:hideMark/>
          </w:tcPr>
          <w:p w:rsidR="00E14C45" w:rsidRPr="00657486" w:rsidRDefault="00E14C45" w:rsidP="00E14C45">
            <w:pPr>
              <w:spacing w:after="0"/>
              <w:jc w:val="center"/>
              <w:rPr>
                <w:color w:val="000000"/>
                <w:szCs w:val="24"/>
                <w:lang w:val="en-US"/>
              </w:rPr>
            </w:pPr>
            <w:r w:rsidRPr="00657486">
              <w:rPr>
                <w:color w:val="000000"/>
                <w:szCs w:val="24"/>
                <w:lang w:val="en-US"/>
              </w:rPr>
              <w:t>6</w:t>
            </w:r>
            <w:r w:rsidR="009F0EEE" w:rsidRPr="00657486">
              <w:rPr>
                <w:color w:val="000000"/>
                <w:szCs w:val="24"/>
                <w:lang w:val="en-US"/>
              </w:rPr>
              <w:t>8%</w:t>
            </w:r>
          </w:p>
        </w:tc>
      </w:tr>
    </w:tbl>
    <w:p w:rsidR="00E14C45" w:rsidRPr="00657486" w:rsidRDefault="00E14C45" w:rsidP="00DA6712">
      <w:pPr>
        <w:rPr>
          <w:b/>
          <w:i/>
          <w:sz w:val="18"/>
          <w:lang w:val="en-US"/>
        </w:rPr>
      </w:pPr>
    </w:p>
    <w:p w:rsidR="00805A78" w:rsidRDefault="005B74F0" w:rsidP="00805A78">
      <w:pPr>
        <w:keepNext/>
        <w:jc w:val="center"/>
      </w:pPr>
      <w:r w:rsidRPr="005B74F0">
        <w:rPr>
          <w:noProof/>
        </w:rPr>
        <w:lastRenderedPageBreak/>
        <w:drawing>
          <wp:inline distT="0" distB="0" distL="0" distR="0" wp14:anchorId="1371DD4A" wp14:editId="4C67411E">
            <wp:extent cx="4873752" cy="365760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rsidR="00FE2B91" w:rsidRDefault="00805A78" w:rsidP="00756316">
      <w:pPr>
        <w:pStyle w:val="Caption"/>
        <w:jc w:val="center"/>
      </w:pPr>
      <w:bookmarkStart w:id="8" w:name="_Ref498350181"/>
      <w:r>
        <w:t xml:space="preserve">Figure </w:t>
      </w:r>
      <w:r w:rsidR="000B4DA9">
        <w:fldChar w:fldCharType="begin"/>
      </w:r>
      <w:r w:rsidR="000B4DA9">
        <w:instrText xml:space="preserve"> SEQ Figure \* ARABIC </w:instrText>
      </w:r>
      <w:r w:rsidR="000B4DA9">
        <w:fldChar w:fldCharType="separate"/>
      </w:r>
      <w:r w:rsidR="007C5FAC">
        <w:rPr>
          <w:noProof/>
        </w:rPr>
        <w:t>1</w:t>
      </w:r>
      <w:r w:rsidR="000B4DA9">
        <w:fldChar w:fldCharType="end"/>
      </w:r>
      <w:bookmarkEnd w:id="8"/>
      <w:r>
        <w:t xml:space="preserve">. </w:t>
      </w:r>
      <w:r w:rsidR="00525799">
        <w:t xml:space="preserve">SINR CDF comparison in </w:t>
      </w:r>
      <w:proofErr w:type="spellStart"/>
      <w:r w:rsidR="00525799">
        <w:t>InH</w:t>
      </w:r>
      <w:proofErr w:type="spellEnd"/>
      <w:r w:rsidR="005B74F0">
        <w:t xml:space="preserve"> </w:t>
      </w:r>
      <w:r w:rsidR="00D2527C">
        <w:t>-</w:t>
      </w:r>
      <w:r w:rsidR="005B74F0">
        <w:t xml:space="preserve"> DL</w:t>
      </w:r>
      <w:r w:rsidR="00D2527C">
        <w:t xml:space="preserve"> - </w:t>
      </w:r>
      <w:r w:rsidR="005B74F0">
        <w:t>between spherical and semi-spherical coverage either for Classic approach</w:t>
      </w:r>
      <w:r w:rsidR="001B0832">
        <w:t xml:space="preserve"> (continuous line)</w:t>
      </w:r>
      <w:r w:rsidR="005B74F0">
        <w:t xml:space="preserve"> and Flat approach</w:t>
      </w:r>
      <w:r w:rsidR="001B0832">
        <w:t xml:space="preserve"> (dashed line)</w:t>
      </w:r>
      <w:r w:rsidR="008A2385">
        <w:t>.</w:t>
      </w:r>
    </w:p>
    <w:p w:rsidR="00C6466B" w:rsidRDefault="00C6466B" w:rsidP="00C6466B">
      <w:pPr>
        <w:pStyle w:val="Heading2"/>
        <w:numPr>
          <w:ilvl w:val="3"/>
          <w:numId w:val="37"/>
        </w:numPr>
      </w:pPr>
      <w:proofErr w:type="spellStart"/>
      <w:r>
        <w:t>InH</w:t>
      </w:r>
      <w:proofErr w:type="spellEnd"/>
      <w:r>
        <w:t xml:space="preserve"> UL</w:t>
      </w:r>
    </w:p>
    <w:p w:rsidR="00C6466B" w:rsidRPr="00C6466B" w:rsidRDefault="000B4DA9" w:rsidP="001F2E0B">
      <w:pPr>
        <w:jc w:val="both"/>
        <w:rPr>
          <w:lang w:val="en-US"/>
        </w:rPr>
      </w:pPr>
      <w:r>
        <w:rPr>
          <w:lang w:val="en-US"/>
        </w:rPr>
        <w:fldChar w:fldCharType="begin"/>
      </w:r>
      <w:r>
        <w:rPr>
          <w:lang w:val="en-US"/>
        </w:rPr>
        <w:instrText xml:space="preserve"> REF _Ref503538159 \h </w:instrText>
      </w:r>
      <w:r w:rsidR="008A2385">
        <w:rPr>
          <w:lang w:val="en-US"/>
        </w:rPr>
        <w:instrText xml:space="preserve"> \* MERGEFORMAT </w:instrText>
      </w:r>
      <w:r>
        <w:rPr>
          <w:lang w:val="en-US"/>
        </w:rPr>
      </w:r>
      <w:r>
        <w:rPr>
          <w:lang w:val="en-US"/>
        </w:rPr>
        <w:fldChar w:fldCharType="separate"/>
      </w:r>
      <w:r w:rsidR="007C5FAC">
        <w:t xml:space="preserve">Figure </w:t>
      </w:r>
      <w:r w:rsidR="007C5FAC">
        <w:rPr>
          <w:noProof/>
        </w:rPr>
        <w:t>2</w:t>
      </w:r>
      <w:r>
        <w:rPr>
          <w:lang w:val="en-US"/>
        </w:rPr>
        <w:fldChar w:fldCharType="end"/>
      </w:r>
      <w:r>
        <w:rPr>
          <w:lang w:val="en-US"/>
        </w:rPr>
        <w:t xml:space="preserve"> </w:t>
      </w:r>
      <w:r w:rsidR="00C6466B" w:rsidRPr="00C6466B">
        <w:rPr>
          <w:lang w:val="en-US"/>
        </w:rPr>
        <w:t xml:space="preserve">shows the SINR Cumulative Distribution Function (CDF) in </w:t>
      </w:r>
      <w:proofErr w:type="spellStart"/>
      <w:r w:rsidR="00C6466B" w:rsidRPr="00C6466B">
        <w:rPr>
          <w:lang w:val="en-US"/>
        </w:rPr>
        <w:t>InH</w:t>
      </w:r>
      <w:proofErr w:type="spellEnd"/>
      <w:r w:rsidR="00C6466B" w:rsidRPr="00C6466B">
        <w:rPr>
          <w:lang w:val="en-US"/>
        </w:rPr>
        <w:t xml:space="preserve"> </w:t>
      </w:r>
      <w:r w:rsidR="00C6466B">
        <w:rPr>
          <w:lang w:val="en-US"/>
        </w:rPr>
        <w:t xml:space="preserve">UL </w:t>
      </w:r>
      <w:r w:rsidR="00C6466B" w:rsidRPr="00C6466B">
        <w:rPr>
          <w:lang w:val="en-US"/>
        </w:rPr>
        <w:t>scenario.</w:t>
      </w:r>
      <w:r>
        <w:rPr>
          <w:lang w:val="en-US"/>
        </w:rPr>
        <w:t xml:space="preserve"> S</w:t>
      </w:r>
      <w:r w:rsidR="00C6466B" w:rsidRPr="00C6466B">
        <w:rPr>
          <w:lang w:val="en-US"/>
        </w:rPr>
        <w:t>pherical and semi-spherical coverage are compared both for Classic and Flat approach.</w:t>
      </w:r>
      <w:r w:rsidR="008A2385">
        <w:rPr>
          <w:lang w:val="en-US"/>
        </w:rPr>
        <w:t xml:space="preserve"> </w:t>
      </w:r>
      <w:r>
        <w:rPr>
          <w:lang w:val="en-US"/>
        </w:rPr>
        <w:t xml:space="preserve">In this </w:t>
      </w:r>
      <w:proofErr w:type="gramStart"/>
      <w:r>
        <w:rPr>
          <w:lang w:val="en-US"/>
        </w:rPr>
        <w:t>scenario</w:t>
      </w:r>
      <w:proofErr w:type="gramEnd"/>
      <w:r w:rsidR="00A67186">
        <w:rPr>
          <w:lang w:val="en-US"/>
        </w:rPr>
        <w:t xml:space="preserve"> we notice different gains between spherical and semi-spherical compared to DL, that can be summed up in the following observation:</w:t>
      </w:r>
    </w:p>
    <w:p w:rsidR="00657486" w:rsidRPr="00657486" w:rsidRDefault="00657486" w:rsidP="00657486">
      <w:pPr>
        <w:rPr>
          <w:lang w:val="en-US"/>
        </w:rPr>
      </w:pPr>
      <w:r>
        <w:rPr>
          <w:lang w:val="en-US"/>
        </w:rPr>
        <w:t>For</w:t>
      </w:r>
      <w:r w:rsidRPr="00657486">
        <w:rPr>
          <w:lang w:val="en-US"/>
        </w:rPr>
        <w:t xml:space="preserve"> </w:t>
      </w:r>
      <w:proofErr w:type="spellStart"/>
      <w:r w:rsidRPr="00657486">
        <w:rPr>
          <w:lang w:val="en-US"/>
        </w:rPr>
        <w:t>InH</w:t>
      </w:r>
      <w:proofErr w:type="spellEnd"/>
      <w:r w:rsidRPr="00657486">
        <w:rPr>
          <w:lang w:val="en-US"/>
        </w:rPr>
        <w:t xml:space="preserve"> scenario</w:t>
      </w:r>
      <w:r>
        <w:rPr>
          <w:lang w:val="en-US"/>
        </w:rPr>
        <w:t>, the</w:t>
      </w:r>
      <w:r w:rsidRPr="00657486">
        <w:rPr>
          <w:lang w:val="en-US"/>
        </w:rPr>
        <w:t xml:space="preserve"> maximum </w:t>
      </w:r>
      <w:r>
        <w:rPr>
          <w:lang w:val="en-US"/>
        </w:rPr>
        <w:t>UL SINR and throughput gains due to spherical coverage are reported in the following tables. The gain is computed comparing 2x2 panels with the worst single panel performance</w:t>
      </w:r>
      <w:r w:rsidRPr="00657486">
        <w:rPr>
          <w:lang w:val="en-US"/>
        </w:rPr>
        <w:t>:</w:t>
      </w:r>
    </w:p>
    <w:tbl>
      <w:tblPr>
        <w:tblW w:w="9630" w:type="dxa"/>
        <w:jc w:val="center"/>
        <w:tblLook w:val="04A0" w:firstRow="1" w:lastRow="0" w:firstColumn="1" w:lastColumn="0" w:noHBand="0" w:noVBand="1"/>
      </w:tblPr>
      <w:tblGrid>
        <w:gridCol w:w="3330"/>
        <w:gridCol w:w="2880"/>
        <w:gridCol w:w="3420"/>
      </w:tblGrid>
      <w:tr w:rsidR="00A731EB" w:rsidRPr="00657486" w:rsidTr="00C8154D">
        <w:trPr>
          <w:trHeight w:val="330"/>
          <w:jc w:val="center"/>
        </w:trPr>
        <w:tc>
          <w:tcPr>
            <w:tcW w:w="3330" w:type="dxa"/>
            <w:tcBorders>
              <w:top w:val="nil"/>
              <w:left w:val="nil"/>
              <w:bottom w:val="nil"/>
              <w:right w:val="nil"/>
            </w:tcBorders>
            <w:shd w:val="clear" w:color="auto" w:fill="auto"/>
            <w:noWrap/>
            <w:vAlign w:val="bottom"/>
            <w:hideMark/>
          </w:tcPr>
          <w:p w:rsidR="00A731EB" w:rsidRPr="00657486" w:rsidRDefault="00A731EB" w:rsidP="00E14C45">
            <w:pPr>
              <w:spacing w:after="0"/>
              <w:rPr>
                <w:szCs w:val="24"/>
                <w:lang w:val="en-US"/>
              </w:rPr>
            </w:pPr>
          </w:p>
        </w:tc>
        <w:tc>
          <w:tcPr>
            <w:tcW w:w="630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A731EB" w:rsidRPr="00657486" w:rsidRDefault="00A731EB" w:rsidP="00E14C45">
            <w:pPr>
              <w:spacing w:after="0"/>
              <w:jc w:val="center"/>
              <w:rPr>
                <w:b/>
                <w:bCs/>
                <w:color w:val="000000"/>
                <w:szCs w:val="24"/>
                <w:lang w:val="en-US"/>
              </w:rPr>
            </w:pPr>
            <w:r w:rsidRPr="00657486">
              <w:rPr>
                <w:b/>
                <w:bCs/>
                <w:color w:val="000000"/>
                <w:szCs w:val="24"/>
                <w:lang w:val="en-US"/>
              </w:rPr>
              <w:t>SINR maximum gain [dB] of spherical versus semi-spherical</w:t>
            </w:r>
          </w:p>
        </w:tc>
      </w:tr>
      <w:tr w:rsidR="00A731EB" w:rsidRPr="00657486" w:rsidTr="00C8154D">
        <w:trPr>
          <w:trHeight w:val="330"/>
          <w:jc w:val="center"/>
        </w:trPr>
        <w:tc>
          <w:tcPr>
            <w:tcW w:w="3330" w:type="dxa"/>
            <w:tcBorders>
              <w:top w:val="single" w:sz="8" w:space="0" w:color="auto"/>
              <w:left w:val="single" w:sz="8" w:space="0" w:color="auto"/>
              <w:bottom w:val="single" w:sz="8" w:space="0" w:color="auto"/>
              <w:right w:val="nil"/>
            </w:tcBorders>
            <w:shd w:val="clear" w:color="auto" w:fill="auto"/>
            <w:noWrap/>
            <w:vAlign w:val="bottom"/>
            <w:hideMark/>
          </w:tcPr>
          <w:p w:rsidR="00A731EB" w:rsidRPr="00657486" w:rsidRDefault="00A731EB" w:rsidP="00E14C45">
            <w:pPr>
              <w:spacing w:after="0"/>
              <w:jc w:val="center"/>
              <w:rPr>
                <w:b/>
                <w:bCs/>
                <w:color w:val="000000"/>
                <w:szCs w:val="24"/>
                <w:lang w:val="en-US"/>
              </w:rPr>
            </w:pPr>
            <w:r w:rsidRPr="00657486">
              <w:rPr>
                <w:b/>
                <w:bCs/>
                <w:color w:val="000000"/>
                <w:szCs w:val="24"/>
                <w:lang w:val="en-US"/>
              </w:rPr>
              <w:t>Approach</w:t>
            </w:r>
          </w:p>
        </w:tc>
        <w:tc>
          <w:tcPr>
            <w:tcW w:w="2880" w:type="dxa"/>
            <w:tcBorders>
              <w:top w:val="nil"/>
              <w:left w:val="single" w:sz="8" w:space="0" w:color="auto"/>
              <w:bottom w:val="single" w:sz="8" w:space="0" w:color="auto"/>
              <w:right w:val="single" w:sz="4" w:space="0" w:color="auto"/>
            </w:tcBorders>
            <w:shd w:val="clear" w:color="auto" w:fill="auto"/>
            <w:noWrap/>
            <w:vAlign w:val="bottom"/>
            <w:hideMark/>
          </w:tcPr>
          <w:p w:rsidR="00A731EB" w:rsidRPr="00657486" w:rsidRDefault="00A731EB" w:rsidP="00E14C45">
            <w:pPr>
              <w:spacing w:after="0"/>
              <w:jc w:val="center"/>
              <w:rPr>
                <w:b/>
                <w:bCs/>
                <w:color w:val="000000"/>
                <w:szCs w:val="24"/>
                <w:lang w:val="en-US"/>
              </w:rPr>
            </w:pPr>
            <w:r w:rsidRPr="00657486">
              <w:rPr>
                <w:b/>
                <w:bCs/>
                <w:color w:val="000000"/>
                <w:szCs w:val="24"/>
                <w:lang w:val="en-US"/>
              </w:rPr>
              <w:t>50%-tile</w:t>
            </w:r>
          </w:p>
        </w:tc>
        <w:tc>
          <w:tcPr>
            <w:tcW w:w="3420" w:type="dxa"/>
            <w:tcBorders>
              <w:top w:val="nil"/>
              <w:left w:val="nil"/>
              <w:bottom w:val="single" w:sz="8" w:space="0" w:color="auto"/>
              <w:right w:val="single" w:sz="8" w:space="0" w:color="auto"/>
            </w:tcBorders>
            <w:shd w:val="clear" w:color="auto" w:fill="auto"/>
            <w:noWrap/>
            <w:vAlign w:val="bottom"/>
            <w:hideMark/>
          </w:tcPr>
          <w:p w:rsidR="00A731EB" w:rsidRPr="00657486" w:rsidRDefault="00A731EB" w:rsidP="00E14C45">
            <w:pPr>
              <w:spacing w:after="0"/>
              <w:jc w:val="center"/>
              <w:rPr>
                <w:b/>
                <w:bCs/>
                <w:color w:val="000000"/>
                <w:szCs w:val="24"/>
                <w:lang w:val="en-US"/>
              </w:rPr>
            </w:pPr>
            <w:r w:rsidRPr="00657486">
              <w:rPr>
                <w:b/>
                <w:bCs/>
                <w:color w:val="000000"/>
                <w:szCs w:val="24"/>
                <w:lang w:val="en-US"/>
              </w:rPr>
              <w:t>5%-tile</w:t>
            </w:r>
          </w:p>
        </w:tc>
      </w:tr>
      <w:tr w:rsidR="00A731EB" w:rsidRPr="00657486" w:rsidTr="00C8154D">
        <w:trPr>
          <w:trHeight w:val="330"/>
          <w:jc w:val="center"/>
        </w:trPr>
        <w:tc>
          <w:tcPr>
            <w:tcW w:w="3330" w:type="dxa"/>
            <w:tcBorders>
              <w:top w:val="nil"/>
              <w:left w:val="single" w:sz="8" w:space="0" w:color="auto"/>
              <w:bottom w:val="single" w:sz="8" w:space="0" w:color="auto"/>
              <w:right w:val="nil"/>
            </w:tcBorders>
            <w:shd w:val="clear" w:color="auto" w:fill="auto"/>
            <w:noWrap/>
            <w:vAlign w:val="bottom"/>
            <w:hideMark/>
          </w:tcPr>
          <w:p w:rsidR="00A731EB" w:rsidRPr="00657486" w:rsidRDefault="00A731EB" w:rsidP="00E14C45">
            <w:pPr>
              <w:spacing w:after="0"/>
              <w:jc w:val="center"/>
              <w:rPr>
                <w:b/>
                <w:bCs/>
                <w:color w:val="000000"/>
                <w:szCs w:val="24"/>
                <w:lang w:val="en-US"/>
              </w:rPr>
            </w:pPr>
            <w:r w:rsidRPr="00657486">
              <w:rPr>
                <w:b/>
                <w:bCs/>
                <w:color w:val="000000"/>
                <w:szCs w:val="24"/>
                <w:lang w:val="en-US"/>
              </w:rPr>
              <w:t>Classic</w:t>
            </w:r>
          </w:p>
        </w:tc>
        <w:tc>
          <w:tcPr>
            <w:tcW w:w="2880" w:type="dxa"/>
            <w:tcBorders>
              <w:top w:val="nil"/>
              <w:left w:val="single" w:sz="8" w:space="0" w:color="auto"/>
              <w:bottom w:val="single" w:sz="8" w:space="0" w:color="auto"/>
              <w:right w:val="single" w:sz="4" w:space="0" w:color="auto"/>
            </w:tcBorders>
            <w:shd w:val="clear" w:color="auto" w:fill="auto"/>
            <w:noWrap/>
            <w:vAlign w:val="bottom"/>
            <w:hideMark/>
          </w:tcPr>
          <w:p w:rsidR="00A731EB" w:rsidRPr="00657486" w:rsidRDefault="00A731EB" w:rsidP="00E14C45">
            <w:pPr>
              <w:spacing w:after="0"/>
              <w:jc w:val="center"/>
              <w:rPr>
                <w:color w:val="000000"/>
                <w:szCs w:val="24"/>
                <w:lang w:val="en-US"/>
              </w:rPr>
            </w:pPr>
            <w:r w:rsidRPr="00657486">
              <w:rPr>
                <w:color w:val="000000"/>
                <w:szCs w:val="24"/>
                <w:lang w:val="en-US"/>
              </w:rPr>
              <w:t>1.8</w:t>
            </w:r>
          </w:p>
        </w:tc>
        <w:tc>
          <w:tcPr>
            <w:tcW w:w="3420" w:type="dxa"/>
            <w:tcBorders>
              <w:top w:val="nil"/>
              <w:left w:val="single" w:sz="8" w:space="0" w:color="auto"/>
              <w:bottom w:val="single" w:sz="8" w:space="0" w:color="auto"/>
              <w:right w:val="single" w:sz="8" w:space="0" w:color="auto"/>
            </w:tcBorders>
            <w:shd w:val="clear" w:color="auto" w:fill="auto"/>
            <w:noWrap/>
            <w:vAlign w:val="bottom"/>
            <w:hideMark/>
          </w:tcPr>
          <w:p w:rsidR="00A731EB" w:rsidRPr="00657486" w:rsidRDefault="00A731EB" w:rsidP="00E14C45">
            <w:pPr>
              <w:spacing w:after="0"/>
              <w:jc w:val="center"/>
              <w:rPr>
                <w:color w:val="000000"/>
                <w:szCs w:val="24"/>
                <w:lang w:val="en-US"/>
              </w:rPr>
            </w:pPr>
            <w:r w:rsidRPr="00657486">
              <w:rPr>
                <w:color w:val="000000"/>
                <w:szCs w:val="24"/>
                <w:lang w:val="en-US"/>
              </w:rPr>
              <w:t>4</w:t>
            </w:r>
          </w:p>
        </w:tc>
      </w:tr>
      <w:tr w:rsidR="00A731EB" w:rsidRPr="00657486" w:rsidTr="00C8154D">
        <w:trPr>
          <w:trHeight w:val="330"/>
          <w:jc w:val="center"/>
        </w:trPr>
        <w:tc>
          <w:tcPr>
            <w:tcW w:w="3330" w:type="dxa"/>
            <w:tcBorders>
              <w:top w:val="nil"/>
              <w:left w:val="single" w:sz="8" w:space="0" w:color="auto"/>
              <w:bottom w:val="single" w:sz="4" w:space="0" w:color="auto"/>
              <w:right w:val="nil"/>
            </w:tcBorders>
            <w:shd w:val="clear" w:color="auto" w:fill="auto"/>
            <w:noWrap/>
            <w:vAlign w:val="bottom"/>
            <w:hideMark/>
          </w:tcPr>
          <w:p w:rsidR="00A731EB" w:rsidRPr="00657486" w:rsidRDefault="00A731EB" w:rsidP="00E14C45">
            <w:pPr>
              <w:spacing w:after="0"/>
              <w:jc w:val="center"/>
              <w:rPr>
                <w:b/>
                <w:bCs/>
                <w:color w:val="000000"/>
                <w:szCs w:val="24"/>
                <w:lang w:val="en-US"/>
              </w:rPr>
            </w:pPr>
            <w:r w:rsidRPr="00657486">
              <w:rPr>
                <w:b/>
                <w:bCs/>
                <w:color w:val="000000"/>
                <w:szCs w:val="24"/>
                <w:lang w:val="en-US"/>
              </w:rPr>
              <w:t>Flat</w:t>
            </w:r>
          </w:p>
        </w:tc>
        <w:tc>
          <w:tcPr>
            <w:tcW w:w="2880" w:type="dxa"/>
            <w:tcBorders>
              <w:top w:val="nil"/>
              <w:left w:val="single" w:sz="8" w:space="0" w:color="auto"/>
              <w:bottom w:val="single" w:sz="4" w:space="0" w:color="auto"/>
              <w:right w:val="single" w:sz="4" w:space="0" w:color="auto"/>
            </w:tcBorders>
            <w:shd w:val="clear" w:color="auto" w:fill="auto"/>
            <w:noWrap/>
            <w:vAlign w:val="bottom"/>
            <w:hideMark/>
          </w:tcPr>
          <w:p w:rsidR="00A731EB" w:rsidRPr="00657486" w:rsidRDefault="00A731EB" w:rsidP="00E14C45">
            <w:pPr>
              <w:spacing w:after="0"/>
              <w:jc w:val="center"/>
              <w:rPr>
                <w:color w:val="000000"/>
                <w:szCs w:val="24"/>
                <w:lang w:val="en-US"/>
              </w:rPr>
            </w:pPr>
            <w:r w:rsidRPr="00657486">
              <w:rPr>
                <w:color w:val="000000"/>
                <w:szCs w:val="24"/>
                <w:lang w:val="en-US"/>
              </w:rPr>
              <w:t>3</w:t>
            </w:r>
          </w:p>
        </w:tc>
        <w:tc>
          <w:tcPr>
            <w:tcW w:w="3420" w:type="dxa"/>
            <w:tcBorders>
              <w:top w:val="nil"/>
              <w:left w:val="single" w:sz="8" w:space="0" w:color="auto"/>
              <w:bottom w:val="single" w:sz="4" w:space="0" w:color="auto"/>
              <w:right w:val="single" w:sz="8" w:space="0" w:color="auto"/>
            </w:tcBorders>
            <w:shd w:val="clear" w:color="auto" w:fill="auto"/>
            <w:noWrap/>
            <w:vAlign w:val="bottom"/>
            <w:hideMark/>
          </w:tcPr>
          <w:p w:rsidR="00A731EB" w:rsidRPr="00657486" w:rsidRDefault="00A731EB" w:rsidP="00E14C45">
            <w:pPr>
              <w:spacing w:after="0"/>
              <w:jc w:val="center"/>
              <w:rPr>
                <w:color w:val="000000"/>
                <w:szCs w:val="24"/>
                <w:lang w:val="en-US"/>
              </w:rPr>
            </w:pPr>
            <w:r w:rsidRPr="00657486">
              <w:rPr>
                <w:color w:val="000000"/>
                <w:szCs w:val="24"/>
                <w:lang w:val="en-US"/>
              </w:rPr>
              <w:t>12</w:t>
            </w:r>
          </w:p>
        </w:tc>
      </w:tr>
    </w:tbl>
    <w:p w:rsidR="00A731EB" w:rsidRPr="00657486" w:rsidRDefault="00A731EB">
      <w:pPr>
        <w:rPr>
          <w:b/>
          <w:i/>
          <w:sz w:val="18"/>
          <w:lang w:val="en-US"/>
        </w:rPr>
      </w:pPr>
    </w:p>
    <w:tbl>
      <w:tblPr>
        <w:tblW w:w="9630" w:type="dxa"/>
        <w:jc w:val="center"/>
        <w:tblLook w:val="04A0" w:firstRow="1" w:lastRow="0" w:firstColumn="1" w:lastColumn="0" w:noHBand="0" w:noVBand="1"/>
      </w:tblPr>
      <w:tblGrid>
        <w:gridCol w:w="3330"/>
        <w:gridCol w:w="2880"/>
        <w:gridCol w:w="3420"/>
      </w:tblGrid>
      <w:tr w:rsidR="00122646" w:rsidRPr="00657486" w:rsidTr="00C8154D">
        <w:trPr>
          <w:trHeight w:val="330"/>
          <w:jc w:val="center"/>
        </w:trPr>
        <w:tc>
          <w:tcPr>
            <w:tcW w:w="3330" w:type="dxa"/>
            <w:tcBorders>
              <w:top w:val="nil"/>
              <w:left w:val="nil"/>
              <w:bottom w:val="nil"/>
              <w:right w:val="nil"/>
            </w:tcBorders>
            <w:shd w:val="clear" w:color="auto" w:fill="auto"/>
            <w:noWrap/>
            <w:vAlign w:val="bottom"/>
            <w:hideMark/>
          </w:tcPr>
          <w:p w:rsidR="00122646" w:rsidRPr="00657486" w:rsidRDefault="00122646" w:rsidP="006E4677">
            <w:pPr>
              <w:spacing w:after="0"/>
              <w:rPr>
                <w:szCs w:val="24"/>
                <w:lang w:val="en-US"/>
              </w:rPr>
            </w:pPr>
          </w:p>
        </w:tc>
        <w:tc>
          <w:tcPr>
            <w:tcW w:w="630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22646" w:rsidRPr="00657486" w:rsidRDefault="00122646" w:rsidP="006E4677">
            <w:pPr>
              <w:spacing w:after="0"/>
              <w:jc w:val="center"/>
              <w:rPr>
                <w:b/>
                <w:bCs/>
                <w:color w:val="000000"/>
                <w:szCs w:val="24"/>
                <w:lang w:val="en-US"/>
              </w:rPr>
            </w:pPr>
            <w:r w:rsidRPr="00657486">
              <w:rPr>
                <w:b/>
                <w:bCs/>
                <w:color w:val="000000"/>
                <w:szCs w:val="24"/>
                <w:lang w:val="en-US"/>
              </w:rPr>
              <w:t>Throughput maximum gain of spherical versus semi-spherical</w:t>
            </w:r>
          </w:p>
        </w:tc>
      </w:tr>
      <w:tr w:rsidR="00122646" w:rsidRPr="00657486" w:rsidTr="00C8154D">
        <w:trPr>
          <w:trHeight w:val="330"/>
          <w:jc w:val="center"/>
        </w:trPr>
        <w:tc>
          <w:tcPr>
            <w:tcW w:w="3330" w:type="dxa"/>
            <w:tcBorders>
              <w:top w:val="single" w:sz="8" w:space="0" w:color="auto"/>
              <w:left w:val="single" w:sz="8" w:space="0" w:color="auto"/>
              <w:bottom w:val="single" w:sz="8" w:space="0" w:color="auto"/>
              <w:right w:val="nil"/>
            </w:tcBorders>
            <w:shd w:val="clear" w:color="auto" w:fill="auto"/>
            <w:noWrap/>
            <w:vAlign w:val="bottom"/>
            <w:hideMark/>
          </w:tcPr>
          <w:p w:rsidR="00122646" w:rsidRPr="00657486" w:rsidRDefault="00122646" w:rsidP="006E4677">
            <w:pPr>
              <w:spacing w:after="0"/>
              <w:jc w:val="center"/>
              <w:rPr>
                <w:b/>
                <w:bCs/>
                <w:color w:val="000000"/>
                <w:szCs w:val="24"/>
                <w:lang w:val="en-US"/>
              </w:rPr>
            </w:pPr>
            <w:r w:rsidRPr="00657486">
              <w:rPr>
                <w:b/>
                <w:bCs/>
                <w:color w:val="000000"/>
                <w:szCs w:val="24"/>
                <w:lang w:val="en-US"/>
              </w:rPr>
              <w:t>Approach</w:t>
            </w:r>
          </w:p>
        </w:tc>
        <w:tc>
          <w:tcPr>
            <w:tcW w:w="2880" w:type="dxa"/>
            <w:tcBorders>
              <w:top w:val="nil"/>
              <w:left w:val="single" w:sz="8" w:space="0" w:color="auto"/>
              <w:bottom w:val="single" w:sz="8" w:space="0" w:color="auto"/>
              <w:right w:val="single" w:sz="4" w:space="0" w:color="auto"/>
            </w:tcBorders>
            <w:shd w:val="clear" w:color="auto" w:fill="auto"/>
            <w:noWrap/>
            <w:vAlign w:val="bottom"/>
            <w:hideMark/>
          </w:tcPr>
          <w:p w:rsidR="00122646" w:rsidRPr="00657486" w:rsidRDefault="00122646" w:rsidP="006E4677">
            <w:pPr>
              <w:spacing w:after="0"/>
              <w:jc w:val="center"/>
              <w:rPr>
                <w:b/>
                <w:bCs/>
                <w:color w:val="000000"/>
                <w:szCs w:val="24"/>
                <w:lang w:val="en-US"/>
              </w:rPr>
            </w:pPr>
            <w:r w:rsidRPr="00657486">
              <w:rPr>
                <w:b/>
                <w:bCs/>
                <w:color w:val="000000"/>
                <w:szCs w:val="24"/>
                <w:lang w:val="en-US"/>
              </w:rPr>
              <w:t>50%-tile</w:t>
            </w:r>
          </w:p>
        </w:tc>
        <w:tc>
          <w:tcPr>
            <w:tcW w:w="3420" w:type="dxa"/>
            <w:tcBorders>
              <w:top w:val="nil"/>
              <w:left w:val="nil"/>
              <w:bottom w:val="single" w:sz="8" w:space="0" w:color="auto"/>
              <w:right w:val="single" w:sz="8" w:space="0" w:color="auto"/>
            </w:tcBorders>
            <w:shd w:val="clear" w:color="auto" w:fill="auto"/>
            <w:noWrap/>
            <w:vAlign w:val="bottom"/>
            <w:hideMark/>
          </w:tcPr>
          <w:p w:rsidR="00122646" w:rsidRPr="00657486" w:rsidRDefault="00122646" w:rsidP="006E4677">
            <w:pPr>
              <w:spacing w:after="0"/>
              <w:jc w:val="center"/>
              <w:rPr>
                <w:b/>
                <w:bCs/>
                <w:color w:val="000000"/>
                <w:szCs w:val="24"/>
                <w:lang w:val="en-US"/>
              </w:rPr>
            </w:pPr>
            <w:r w:rsidRPr="00657486">
              <w:rPr>
                <w:b/>
                <w:bCs/>
                <w:color w:val="000000"/>
                <w:szCs w:val="24"/>
                <w:lang w:val="en-US"/>
              </w:rPr>
              <w:t>5%-tile</w:t>
            </w:r>
          </w:p>
        </w:tc>
      </w:tr>
      <w:tr w:rsidR="00122646" w:rsidRPr="00657486" w:rsidTr="00C8154D">
        <w:trPr>
          <w:trHeight w:val="330"/>
          <w:jc w:val="center"/>
        </w:trPr>
        <w:tc>
          <w:tcPr>
            <w:tcW w:w="3330" w:type="dxa"/>
            <w:tcBorders>
              <w:top w:val="nil"/>
              <w:left w:val="single" w:sz="8" w:space="0" w:color="auto"/>
              <w:bottom w:val="single" w:sz="8" w:space="0" w:color="auto"/>
              <w:right w:val="nil"/>
            </w:tcBorders>
            <w:shd w:val="clear" w:color="auto" w:fill="auto"/>
            <w:noWrap/>
            <w:vAlign w:val="bottom"/>
            <w:hideMark/>
          </w:tcPr>
          <w:p w:rsidR="00122646" w:rsidRPr="00657486" w:rsidRDefault="00122646" w:rsidP="00122646">
            <w:pPr>
              <w:spacing w:after="0"/>
              <w:jc w:val="center"/>
              <w:rPr>
                <w:b/>
                <w:bCs/>
                <w:color w:val="000000"/>
                <w:szCs w:val="24"/>
                <w:lang w:val="en-US"/>
              </w:rPr>
            </w:pPr>
            <w:r w:rsidRPr="00657486">
              <w:rPr>
                <w:b/>
                <w:bCs/>
                <w:color w:val="000000"/>
                <w:szCs w:val="24"/>
                <w:lang w:val="en-US"/>
              </w:rPr>
              <w:t>Classic</w:t>
            </w:r>
          </w:p>
        </w:tc>
        <w:tc>
          <w:tcPr>
            <w:tcW w:w="2880" w:type="dxa"/>
            <w:tcBorders>
              <w:top w:val="nil"/>
              <w:left w:val="single" w:sz="8" w:space="0" w:color="auto"/>
              <w:bottom w:val="single" w:sz="8" w:space="0" w:color="auto"/>
              <w:right w:val="single" w:sz="4" w:space="0" w:color="auto"/>
            </w:tcBorders>
            <w:shd w:val="clear" w:color="auto" w:fill="auto"/>
            <w:noWrap/>
            <w:vAlign w:val="bottom"/>
            <w:hideMark/>
          </w:tcPr>
          <w:p w:rsidR="00122646" w:rsidRPr="00657486" w:rsidRDefault="00122646" w:rsidP="00122646">
            <w:pPr>
              <w:spacing w:after="0"/>
              <w:jc w:val="center"/>
              <w:rPr>
                <w:color w:val="000000"/>
                <w:szCs w:val="24"/>
                <w:lang w:val="en-US"/>
              </w:rPr>
            </w:pPr>
            <w:r w:rsidRPr="00657486">
              <w:rPr>
                <w:color w:val="000000"/>
                <w:szCs w:val="24"/>
                <w:lang w:val="en-US"/>
              </w:rPr>
              <w:t>9%</w:t>
            </w:r>
          </w:p>
        </w:tc>
        <w:tc>
          <w:tcPr>
            <w:tcW w:w="3420" w:type="dxa"/>
            <w:tcBorders>
              <w:top w:val="nil"/>
              <w:left w:val="single" w:sz="8" w:space="0" w:color="auto"/>
              <w:bottom w:val="single" w:sz="8" w:space="0" w:color="auto"/>
              <w:right w:val="single" w:sz="8" w:space="0" w:color="auto"/>
            </w:tcBorders>
            <w:shd w:val="clear" w:color="auto" w:fill="auto"/>
            <w:noWrap/>
            <w:vAlign w:val="bottom"/>
            <w:hideMark/>
          </w:tcPr>
          <w:p w:rsidR="00122646" w:rsidRPr="00657486" w:rsidRDefault="00122646" w:rsidP="00122646">
            <w:pPr>
              <w:spacing w:after="0"/>
              <w:jc w:val="center"/>
              <w:rPr>
                <w:color w:val="000000"/>
                <w:szCs w:val="24"/>
                <w:lang w:val="en-US"/>
              </w:rPr>
            </w:pPr>
            <w:r w:rsidRPr="00657486">
              <w:rPr>
                <w:color w:val="000000"/>
                <w:szCs w:val="24"/>
                <w:lang w:val="en-US"/>
              </w:rPr>
              <w:t>33%</w:t>
            </w:r>
          </w:p>
        </w:tc>
      </w:tr>
      <w:tr w:rsidR="00122646" w:rsidRPr="00657486" w:rsidTr="00C8154D">
        <w:trPr>
          <w:trHeight w:val="330"/>
          <w:jc w:val="center"/>
        </w:trPr>
        <w:tc>
          <w:tcPr>
            <w:tcW w:w="3330" w:type="dxa"/>
            <w:tcBorders>
              <w:top w:val="nil"/>
              <w:left w:val="single" w:sz="8" w:space="0" w:color="auto"/>
              <w:bottom w:val="single" w:sz="4" w:space="0" w:color="auto"/>
              <w:right w:val="nil"/>
            </w:tcBorders>
            <w:shd w:val="clear" w:color="auto" w:fill="auto"/>
            <w:noWrap/>
            <w:vAlign w:val="bottom"/>
            <w:hideMark/>
          </w:tcPr>
          <w:p w:rsidR="00122646" w:rsidRPr="00657486" w:rsidRDefault="00122646" w:rsidP="00122646">
            <w:pPr>
              <w:spacing w:after="0"/>
              <w:jc w:val="center"/>
              <w:rPr>
                <w:b/>
                <w:bCs/>
                <w:color w:val="000000"/>
                <w:szCs w:val="24"/>
                <w:lang w:val="en-US"/>
              </w:rPr>
            </w:pPr>
            <w:r w:rsidRPr="00657486">
              <w:rPr>
                <w:b/>
                <w:bCs/>
                <w:color w:val="000000"/>
                <w:szCs w:val="24"/>
                <w:lang w:val="en-US"/>
              </w:rPr>
              <w:t>Flat</w:t>
            </w:r>
          </w:p>
        </w:tc>
        <w:tc>
          <w:tcPr>
            <w:tcW w:w="2880" w:type="dxa"/>
            <w:tcBorders>
              <w:top w:val="nil"/>
              <w:left w:val="single" w:sz="8" w:space="0" w:color="auto"/>
              <w:bottom w:val="single" w:sz="4" w:space="0" w:color="auto"/>
              <w:right w:val="single" w:sz="4" w:space="0" w:color="auto"/>
            </w:tcBorders>
            <w:shd w:val="clear" w:color="auto" w:fill="auto"/>
            <w:noWrap/>
            <w:vAlign w:val="bottom"/>
            <w:hideMark/>
          </w:tcPr>
          <w:p w:rsidR="00122646" w:rsidRPr="00657486" w:rsidRDefault="00122646" w:rsidP="00122646">
            <w:pPr>
              <w:spacing w:after="0"/>
              <w:jc w:val="center"/>
              <w:rPr>
                <w:color w:val="000000"/>
                <w:szCs w:val="24"/>
                <w:lang w:val="en-US"/>
              </w:rPr>
            </w:pPr>
            <w:r w:rsidRPr="00657486">
              <w:rPr>
                <w:color w:val="000000"/>
                <w:szCs w:val="24"/>
                <w:lang w:val="en-US"/>
              </w:rPr>
              <w:t>15%</w:t>
            </w:r>
          </w:p>
        </w:tc>
        <w:tc>
          <w:tcPr>
            <w:tcW w:w="3420" w:type="dxa"/>
            <w:tcBorders>
              <w:top w:val="nil"/>
              <w:left w:val="single" w:sz="8" w:space="0" w:color="auto"/>
              <w:bottom w:val="single" w:sz="4" w:space="0" w:color="auto"/>
              <w:right w:val="single" w:sz="8" w:space="0" w:color="auto"/>
            </w:tcBorders>
            <w:shd w:val="clear" w:color="auto" w:fill="auto"/>
            <w:noWrap/>
            <w:vAlign w:val="bottom"/>
            <w:hideMark/>
          </w:tcPr>
          <w:p w:rsidR="00122646" w:rsidRPr="00657486" w:rsidRDefault="00122646" w:rsidP="00122646">
            <w:pPr>
              <w:spacing w:after="0"/>
              <w:jc w:val="center"/>
              <w:rPr>
                <w:color w:val="000000"/>
                <w:szCs w:val="24"/>
                <w:lang w:val="en-US"/>
              </w:rPr>
            </w:pPr>
            <w:r w:rsidRPr="00657486">
              <w:rPr>
                <w:color w:val="000000"/>
                <w:szCs w:val="24"/>
                <w:lang w:val="en-US"/>
              </w:rPr>
              <w:t>80%</w:t>
            </w:r>
          </w:p>
        </w:tc>
      </w:tr>
    </w:tbl>
    <w:p w:rsidR="00C6466B" w:rsidRPr="001F2E0B" w:rsidRDefault="00C6466B" w:rsidP="004E6DA4">
      <w:pPr>
        <w:rPr>
          <w:b/>
          <w:i/>
          <w:lang w:val="en-US"/>
        </w:rPr>
      </w:pPr>
    </w:p>
    <w:p w:rsidR="000B4DA9" w:rsidRDefault="00C6466B" w:rsidP="000B4DA9">
      <w:pPr>
        <w:keepNext/>
        <w:jc w:val="center"/>
      </w:pPr>
      <w:r w:rsidRPr="00C6466B">
        <w:rPr>
          <w:noProof/>
        </w:rPr>
        <w:lastRenderedPageBreak/>
        <w:drawing>
          <wp:inline distT="0" distB="0" distL="0" distR="0" wp14:anchorId="29D37323" wp14:editId="04C718AD">
            <wp:extent cx="4873752" cy="365760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rsidR="00DB2742" w:rsidRPr="00E46CFC" w:rsidRDefault="000B4DA9" w:rsidP="00C37EF5">
      <w:pPr>
        <w:pStyle w:val="Caption"/>
        <w:jc w:val="center"/>
      </w:pPr>
      <w:bookmarkStart w:id="9" w:name="_Ref503538159"/>
      <w:r>
        <w:t xml:space="preserve">Figure </w:t>
      </w:r>
      <w:r>
        <w:fldChar w:fldCharType="begin"/>
      </w:r>
      <w:r>
        <w:instrText xml:space="preserve"> SEQ Figure \* ARABIC </w:instrText>
      </w:r>
      <w:r>
        <w:fldChar w:fldCharType="separate"/>
      </w:r>
      <w:r w:rsidR="007C5FAC">
        <w:rPr>
          <w:noProof/>
        </w:rPr>
        <w:t>2</w:t>
      </w:r>
      <w:r>
        <w:fldChar w:fldCharType="end"/>
      </w:r>
      <w:bookmarkEnd w:id="9"/>
      <w:r>
        <w:t xml:space="preserve">. SINR CDF comparison in </w:t>
      </w:r>
      <w:proofErr w:type="spellStart"/>
      <w:r>
        <w:t>InH</w:t>
      </w:r>
      <w:proofErr w:type="spellEnd"/>
      <w:r>
        <w:t xml:space="preserve"> - UL - between spherical and semi-spherical coverage either for Classic approach (continuous line) and Flat approach (dashed line)</w:t>
      </w:r>
      <w:r w:rsidR="008A2385">
        <w:t>.</w:t>
      </w:r>
    </w:p>
    <w:p w:rsidR="00290240" w:rsidRDefault="00146FE7" w:rsidP="001F2E0B">
      <w:pPr>
        <w:pStyle w:val="Heading3"/>
        <w:jc w:val="both"/>
        <w:rPr>
          <w:lang w:val="en-US"/>
        </w:rPr>
      </w:pPr>
      <w:r>
        <w:rPr>
          <w:lang w:val="en-US"/>
        </w:rPr>
        <w:t xml:space="preserve">Results </w:t>
      </w:r>
      <w:proofErr w:type="spellStart"/>
      <w:r>
        <w:rPr>
          <w:lang w:val="en-US"/>
        </w:rPr>
        <w:t>UM</w:t>
      </w:r>
      <w:r w:rsidR="00290240">
        <w:rPr>
          <w:lang w:val="en-US"/>
        </w:rPr>
        <w:t>i</w:t>
      </w:r>
      <w:proofErr w:type="spellEnd"/>
    </w:p>
    <w:p w:rsidR="00D61828" w:rsidRDefault="00D61828" w:rsidP="001F2E0B">
      <w:pPr>
        <w:jc w:val="both"/>
        <w:rPr>
          <w:lang w:val="en-US"/>
        </w:rPr>
      </w:pPr>
      <w:proofErr w:type="spellStart"/>
      <w:r>
        <w:rPr>
          <w:lang w:val="en-US"/>
        </w:rPr>
        <w:t>UMi</w:t>
      </w:r>
      <w:proofErr w:type="spellEnd"/>
      <w:r>
        <w:rPr>
          <w:lang w:val="en-US"/>
        </w:rPr>
        <w:t xml:space="preserve"> deployment is here analyzed both for DL and UL setting. The analysis is very </w:t>
      </w:r>
      <w:proofErr w:type="gramStart"/>
      <w:r>
        <w:rPr>
          <w:lang w:val="en-US"/>
        </w:rPr>
        <w:t>similar to</w:t>
      </w:r>
      <w:proofErr w:type="gramEnd"/>
      <w:r>
        <w:rPr>
          <w:lang w:val="en-US"/>
        </w:rPr>
        <w:t xml:space="preserve"> the above for </w:t>
      </w:r>
      <w:proofErr w:type="spellStart"/>
      <w:r>
        <w:rPr>
          <w:lang w:val="en-US"/>
        </w:rPr>
        <w:t>InH</w:t>
      </w:r>
      <w:proofErr w:type="spellEnd"/>
      <w:r>
        <w:rPr>
          <w:lang w:val="en-US"/>
        </w:rPr>
        <w:t xml:space="preserve"> setting and will focus on SINR CDF differences between spherical and semi-spherical coverage.</w:t>
      </w:r>
      <w:r w:rsidR="008A2385">
        <w:rPr>
          <w:lang w:val="en-US"/>
        </w:rPr>
        <w:t xml:space="preserve"> </w:t>
      </w:r>
      <w:r>
        <w:rPr>
          <w:lang w:val="en-US"/>
        </w:rPr>
        <w:t>Simulation results are shown for different parameters such as:</w:t>
      </w:r>
    </w:p>
    <w:p w:rsidR="00D61828" w:rsidRDefault="00D61828" w:rsidP="001F2E0B">
      <w:pPr>
        <w:pStyle w:val="ListParagraph"/>
        <w:numPr>
          <w:ilvl w:val="0"/>
          <w:numId w:val="40"/>
        </w:numPr>
        <w:jc w:val="both"/>
        <w:rPr>
          <w:b/>
          <w:lang w:val="en-US"/>
        </w:rPr>
      </w:pPr>
      <w:r>
        <w:rPr>
          <w:b/>
          <w:lang w:val="en-US"/>
        </w:rPr>
        <w:t xml:space="preserve">ISD = </w:t>
      </w:r>
      <w:r w:rsidR="00B42DE0">
        <w:rPr>
          <w:b/>
          <w:lang w:val="en-US"/>
        </w:rPr>
        <w:t xml:space="preserve">200m </w:t>
      </w:r>
      <w:r>
        <w:rPr>
          <w:b/>
          <w:lang w:val="en-US"/>
        </w:rPr>
        <w:t>and 300m</w:t>
      </w:r>
    </w:p>
    <w:p w:rsidR="00D61828" w:rsidRPr="00D61828" w:rsidRDefault="00D61828" w:rsidP="001F2E0B">
      <w:pPr>
        <w:pStyle w:val="ListParagraph"/>
        <w:numPr>
          <w:ilvl w:val="0"/>
          <w:numId w:val="40"/>
        </w:numPr>
        <w:jc w:val="both"/>
        <w:rPr>
          <w:b/>
          <w:lang w:val="en-US"/>
        </w:rPr>
      </w:pPr>
      <w:r>
        <w:rPr>
          <w:b/>
          <w:lang w:val="en-US"/>
        </w:rPr>
        <w:t>Indoor UE ratio = 0% and 20%</w:t>
      </w:r>
    </w:p>
    <w:p w:rsidR="00290240" w:rsidRPr="00CB7B99" w:rsidRDefault="00290240" w:rsidP="00290240">
      <w:pPr>
        <w:pStyle w:val="Heading2"/>
        <w:numPr>
          <w:ilvl w:val="0"/>
          <w:numId w:val="0"/>
        </w:numPr>
        <w:rPr>
          <w:sz w:val="28"/>
          <w:szCs w:val="28"/>
          <w:lang w:val="en-US"/>
        </w:rPr>
      </w:pPr>
      <w:r w:rsidRPr="00CB7B99">
        <w:rPr>
          <w:sz w:val="28"/>
          <w:szCs w:val="28"/>
          <w:lang w:val="en-US"/>
        </w:rPr>
        <w:t xml:space="preserve">2.2.2.1 </w:t>
      </w:r>
      <w:proofErr w:type="spellStart"/>
      <w:r w:rsidRPr="00CB7B99">
        <w:rPr>
          <w:sz w:val="28"/>
          <w:szCs w:val="28"/>
          <w:lang w:val="en-US"/>
        </w:rPr>
        <w:t>UMi</w:t>
      </w:r>
      <w:proofErr w:type="spellEnd"/>
      <w:r w:rsidRPr="00CB7B99">
        <w:rPr>
          <w:sz w:val="28"/>
          <w:szCs w:val="28"/>
          <w:lang w:val="en-US"/>
        </w:rPr>
        <w:t xml:space="preserve"> DL</w:t>
      </w:r>
    </w:p>
    <w:bookmarkStart w:id="10" w:name="_Hlk503605556"/>
    <w:p w:rsidR="00057950" w:rsidRDefault="00AD247B" w:rsidP="001F2E0B">
      <w:pPr>
        <w:jc w:val="both"/>
        <w:rPr>
          <w:lang w:val="en-US"/>
        </w:rPr>
      </w:pPr>
      <w:r>
        <w:rPr>
          <w:lang w:val="en-US"/>
        </w:rPr>
        <w:fldChar w:fldCharType="begin"/>
      </w:r>
      <w:r>
        <w:rPr>
          <w:lang w:val="en-US"/>
        </w:rPr>
        <w:instrText xml:space="preserve"> REF _Ref503427734 \h </w:instrText>
      </w:r>
      <w:r w:rsidR="008A2385">
        <w:rPr>
          <w:lang w:val="en-US"/>
        </w:rPr>
        <w:instrText xml:space="preserve"> \* MERGEFORMAT </w:instrText>
      </w:r>
      <w:r>
        <w:rPr>
          <w:lang w:val="en-US"/>
        </w:rPr>
      </w:r>
      <w:r>
        <w:rPr>
          <w:lang w:val="en-US"/>
        </w:rPr>
        <w:fldChar w:fldCharType="separate"/>
      </w:r>
      <w:r w:rsidR="007C5FAC">
        <w:t xml:space="preserve">Figure </w:t>
      </w:r>
      <w:r w:rsidR="007C5FAC">
        <w:rPr>
          <w:noProof/>
        </w:rPr>
        <w:t>3</w:t>
      </w:r>
      <w:r>
        <w:rPr>
          <w:lang w:val="en-US"/>
        </w:rPr>
        <w:fldChar w:fldCharType="end"/>
      </w:r>
      <w:r w:rsidR="00CB7B99">
        <w:rPr>
          <w:lang w:val="en-US"/>
        </w:rPr>
        <w:t xml:space="preserve"> and</w:t>
      </w:r>
      <w:r>
        <w:rPr>
          <w:lang w:val="en-US"/>
        </w:rPr>
        <w:t xml:space="preserve"> </w:t>
      </w:r>
      <w:r w:rsidR="00CB7B99">
        <w:rPr>
          <w:lang w:val="en-US"/>
        </w:rPr>
        <w:fldChar w:fldCharType="begin"/>
      </w:r>
      <w:r w:rsidR="00CB7B99">
        <w:rPr>
          <w:lang w:val="en-US"/>
        </w:rPr>
        <w:instrText xml:space="preserve"> REF _Ref503428190 \h </w:instrText>
      </w:r>
      <w:r w:rsidR="008A2385">
        <w:rPr>
          <w:lang w:val="en-US"/>
        </w:rPr>
        <w:instrText xml:space="preserve"> \* MERGEFORMAT </w:instrText>
      </w:r>
      <w:r w:rsidR="00CB7B99">
        <w:rPr>
          <w:lang w:val="en-US"/>
        </w:rPr>
      </w:r>
      <w:r w:rsidR="00CB7B99">
        <w:rPr>
          <w:lang w:val="en-US"/>
        </w:rPr>
        <w:fldChar w:fldCharType="separate"/>
      </w:r>
      <w:r w:rsidR="007C5FAC">
        <w:t xml:space="preserve">Figure </w:t>
      </w:r>
      <w:r w:rsidR="007C5FAC">
        <w:rPr>
          <w:noProof/>
        </w:rPr>
        <w:t>4</w:t>
      </w:r>
      <w:r w:rsidR="00CB7B99">
        <w:rPr>
          <w:lang w:val="en-US"/>
        </w:rPr>
        <w:fldChar w:fldCharType="end"/>
      </w:r>
      <w:r w:rsidR="00CB7B99">
        <w:rPr>
          <w:lang w:val="en-US"/>
        </w:rPr>
        <w:t xml:space="preserve"> </w:t>
      </w:r>
      <w:r>
        <w:rPr>
          <w:lang w:val="en-US"/>
        </w:rPr>
        <w:t xml:space="preserve">show a comparison between SINR CDFs </w:t>
      </w:r>
      <w:r w:rsidR="00CB7B99">
        <w:rPr>
          <w:lang w:val="en-US"/>
        </w:rPr>
        <w:t xml:space="preserve">for </w:t>
      </w:r>
      <w:proofErr w:type="spellStart"/>
      <w:r w:rsidR="00CB7B99">
        <w:rPr>
          <w:lang w:val="en-US"/>
        </w:rPr>
        <w:t>UMi</w:t>
      </w:r>
      <w:proofErr w:type="spellEnd"/>
      <w:r w:rsidR="00CB7B99">
        <w:rPr>
          <w:lang w:val="en-US"/>
        </w:rPr>
        <w:t xml:space="preserve"> DL for </w:t>
      </w:r>
      <w:r w:rsidR="00B42DE0">
        <w:rPr>
          <w:lang w:val="en-US"/>
        </w:rPr>
        <w:t xml:space="preserve">200m </w:t>
      </w:r>
      <w:r w:rsidR="00CB7B99">
        <w:rPr>
          <w:lang w:val="en-US"/>
        </w:rPr>
        <w:t xml:space="preserve">and </w:t>
      </w:r>
      <w:r w:rsidR="00B42DE0">
        <w:rPr>
          <w:lang w:val="en-US"/>
        </w:rPr>
        <w:t xml:space="preserve">300m </w:t>
      </w:r>
      <w:r w:rsidR="00CB7B99">
        <w:rPr>
          <w:lang w:val="en-US"/>
        </w:rPr>
        <w:t>ISD, respectively</w:t>
      </w:r>
      <w:r w:rsidR="005925C7">
        <w:rPr>
          <w:lang w:val="en-US"/>
        </w:rPr>
        <w:t>,</w:t>
      </w:r>
      <w:r w:rsidR="00057950">
        <w:rPr>
          <w:lang w:val="en-US"/>
        </w:rPr>
        <w:t xml:space="preserve"> </w:t>
      </w:r>
      <w:r w:rsidR="005925C7">
        <w:rPr>
          <w:lang w:val="en-US"/>
        </w:rPr>
        <w:t>when all UEs are assumed to be outdoor.</w:t>
      </w:r>
      <w:r w:rsidR="00057950">
        <w:rPr>
          <w:lang w:val="en-US"/>
        </w:rPr>
        <w:t xml:space="preserve"> </w:t>
      </w:r>
      <w:r w:rsidR="00057950">
        <w:rPr>
          <w:lang w:val="en-US"/>
        </w:rPr>
        <w:fldChar w:fldCharType="begin"/>
      </w:r>
      <w:r w:rsidR="00057950">
        <w:rPr>
          <w:lang w:val="en-US"/>
        </w:rPr>
        <w:instrText xml:space="preserve"> REF _Ref503603877 \h </w:instrText>
      </w:r>
      <w:r w:rsidR="008A2385">
        <w:rPr>
          <w:lang w:val="en-US"/>
        </w:rPr>
        <w:instrText xml:space="preserve"> \* MERGEFORMAT </w:instrText>
      </w:r>
      <w:r w:rsidR="00057950">
        <w:rPr>
          <w:lang w:val="en-US"/>
        </w:rPr>
      </w:r>
      <w:r w:rsidR="00057950">
        <w:rPr>
          <w:lang w:val="en-US"/>
        </w:rPr>
        <w:fldChar w:fldCharType="separate"/>
      </w:r>
      <w:r w:rsidR="007C5FAC">
        <w:t xml:space="preserve">Figure </w:t>
      </w:r>
      <w:r w:rsidR="007C5FAC">
        <w:rPr>
          <w:noProof/>
        </w:rPr>
        <w:t>5</w:t>
      </w:r>
      <w:r w:rsidR="00057950">
        <w:rPr>
          <w:lang w:val="en-US"/>
        </w:rPr>
        <w:fldChar w:fldCharType="end"/>
      </w:r>
      <w:r w:rsidR="00057950">
        <w:rPr>
          <w:lang w:val="en-US"/>
        </w:rPr>
        <w:t xml:space="preserve"> and </w:t>
      </w:r>
      <w:r w:rsidR="00057950">
        <w:rPr>
          <w:lang w:val="en-US"/>
        </w:rPr>
        <w:fldChar w:fldCharType="begin"/>
      </w:r>
      <w:r w:rsidR="00057950">
        <w:rPr>
          <w:lang w:val="en-US"/>
        </w:rPr>
        <w:instrText xml:space="preserve"> REF _Ref503603901 \h </w:instrText>
      </w:r>
      <w:r w:rsidR="008A2385">
        <w:rPr>
          <w:lang w:val="en-US"/>
        </w:rPr>
        <w:instrText xml:space="preserve"> \* MERGEFORMAT </w:instrText>
      </w:r>
      <w:r w:rsidR="00057950">
        <w:rPr>
          <w:lang w:val="en-US"/>
        </w:rPr>
      </w:r>
      <w:r w:rsidR="00057950">
        <w:rPr>
          <w:lang w:val="en-US"/>
        </w:rPr>
        <w:fldChar w:fldCharType="separate"/>
      </w:r>
      <w:r w:rsidR="007C5FAC">
        <w:t xml:space="preserve">Figure </w:t>
      </w:r>
      <w:r w:rsidR="007C5FAC">
        <w:rPr>
          <w:noProof/>
        </w:rPr>
        <w:t>6</w:t>
      </w:r>
      <w:r w:rsidR="00057950">
        <w:rPr>
          <w:lang w:val="en-US"/>
        </w:rPr>
        <w:fldChar w:fldCharType="end"/>
      </w:r>
      <w:r w:rsidR="00CB7B99">
        <w:rPr>
          <w:lang w:val="en-US"/>
        </w:rPr>
        <w:t xml:space="preserve"> </w:t>
      </w:r>
      <w:r w:rsidR="00057950">
        <w:rPr>
          <w:lang w:val="en-US"/>
        </w:rPr>
        <w:t xml:space="preserve">instead show the case when 20% of UEs are indoor. </w:t>
      </w:r>
      <w:r w:rsidR="008A2385">
        <w:rPr>
          <w:lang w:val="en-US"/>
        </w:rPr>
        <w:t xml:space="preserve">It can be observed </w:t>
      </w:r>
      <w:r w:rsidR="00CB7B99">
        <w:rPr>
          <w:lang w:val="en-US"/>
        </w:rPr>
        <w:t xml:space="preserve">that the trend is </w:t>
      </w:r>
      <w:proofErr w:type="gramStart"/>
      <w:r w:rsidR="00CB7B99">
        <w:rPr>
          <w:lang w:val="en-US"/>
        </w:rPr>
        <w:t>similar to</w:t>
      </w:r>
      <w:proofErr w:type="gramEnd"/>
      <w:r w:rsidR="008A2385">
        <w:rPr>
          <w:lang w:val="en-US"/>
        </w:rPr>
        <w:t xml:space="preserve"> </w:t>
      </w:r>
      <w:proofErr w:type="spellStart"/>
      <w:r w:rsidR="00CB7B99">
        <w:rPr>
          <w:lang w:val="en-US"/>
        </w:rPr>
        <w:t>InH</w:t>
      </w:r>
      <w:proofErr w:type="spellEnd"/>
      <w:r w:rsidR="00CB7B99">
        <w:rPr>
          <w:lang w:val="en-US"/>
        </w:rPr>
        <w:t xml:space="preserve"> setting</w:t>
      </w:r>
      <w:r w:rsidR="00057950">
        <w:rPr>
          <w:lang w:val="en-US"/>
        </w:rPr>
        <w:t xml:space="preserve"> and same considerations</w:t>
      </w:r>
      <w:r w:rsidR="00D476D8">
        <w:rPr>
          <w:lang w:val="en-US"/>
        </w:rPr>
        <w:t xml:space="preserve"> of Section </w:t>
      </w:r>
      <w:r w:rsidR="00D476D8">
        <w:rPr>
          <w:lang w:val="en-US"/>
        </w:rPr>
        <w:fldChar w:fldCharType="begin"/>
      </w:r>
      <w:r w:rsidR="00D476D8">
        <w:rPr>
          <w:lang w:val="en-US"/>
        </w:rPr>
        <w:instrText xml:space="preserve"> REF _Ref503773354 \r \h </w:instrText>
      </w:r>
      <w:r w:rsidR="008A2385">
        <w:rPr>
          <w:lang w:val="en-US"/>
        </w:rPr>
        <w:instrText xml:space="preserve"> \* MERGEFORMAT </w:instrText>
      </w:r>
      <w:r w:rsidR="00D476D8">
        <w:rPr>
          <w:lang w:val="en-US"/>
        </w:rPr>
      </w:r>
      <w:r w:rsidR="00D476D8">
        <w:rPr>
          <w:lang w:val="en-US"/>
        </w:rPr>
        <w:fldChar w:fldCharType="separate"/>
      </w:r>
      <w:r w:rsidR="007C5FAC">
        <w:rPr>
          <w:lang w:val="en-US"/>
        </w:rPr>
        <w:t>2.2.1.1</w:t>
      </w:r>
      <w:r w:rsidR="00D476D8">
        <w:rPr>
          <w:lang w:val="en-US"/>
        </w:rPr>
        <w:fldChar w:fldCharType="end"/>
      </w:r>
      <w:r w:rsidR="00057950">
        <w:rPr>
          <w:lang w:val="en-US"/>
        </w:rPr>
        <w:t xml:space="preserve"> apply</w:t>
      </w:r>
      <w:r w:rsidR="00CB7B99">
        <w:rPr>
          <w:lang w:val="en-US"/>
        </w:rPr>
        <w:t>.</w:t>
      </w:r>
      <w:r w:rsidR="008A2385">
        <w:rPr>
          <w:lang w:val="en-US"/>
        </w:rPr>
        <w:t xml:space="preserve"> </w:t>
      </w:r>
      <w:r w:rsidR="00057950">
        <w:rPr>
          <w:lang w:val="en-US"/>
        </w:rPr>
        <w:t xml:space="preserve">It is also interesting to </w:t>
      </w:r>
      <w:r w:rsidR="008A2385">
        <w:rPr>
          <w:lang w:val="en-US"/>
        </w:rPr>
        <w:t xml:space="preserve">note that </w:t>
      </w:r>
      <w:r w:rsidR="00057950" w:rsidRPr="00057950">
        <w:rPr>
          <w:lang w:val="en-US"/>
        </w:rPr>
        <w:t xml:space="preserve">the performance degradation due to </w:t>
      </w:r>
      <w:r w:rsidR="00057950">
        <w:rPr>
          <w:lang w:val="en-US"/>
        </w:rPr>
        <w:t>additional penetration losses</w:t>
      </w:r>
      <w:r w:rsidR="00057950" w:rsidRPr="00057950">
        <w:rPr>
          <w:lang w:val="en-US"/>
        </w:rPr>
        <w:t xml:space="preserve"> when indoor UE</w:t>
      </w:r>
      <w:r w:rsidR="00B524AC">
        <w:rPr>
          <w:lang w:val="en-US"/>
        </w:rPr>
        <w:t>s</w:t>
      </w:r>
      <w:r w:rsidR="00057950" w:rsidRPr="00057950">
        <w:rPr>
          <w:lang w:val="en-US"/>
        </w:rPr>
        <w:t xml:space="preserve"> are considered.</w:t>
      </w:r>
    </w:p>
    <w:bookmarkEnd w:id="10"/>
    <w:p w:rsidR="008708AF" w:rsidRDefault="008708AF" w:rsidP="001F2E0B">
      <w:pPr>
        <w:jc w:val="both"/>
        <w:rPr>
          <w:lang w:val="en-US"/>
        </w:rPr>
      </w:pPr>
      <w:r>
        <w:rPr>
          <w:lang w:val="en-US"/>
        </w:rPr>
        <w:t>Our findings for the analyzed scenario are summarized in the following observation:</w:t>
      </w:r>
    </w:p>
    <w:p w:rsidR="00657486" w:rsidRPr="00657486" w:rsidRDefault="00657486" w:rsidP="00657486">
      <w:pPr>
        <w:rPr>
          <w:lang w:val="en-US"/>
        </w:rPr>
      </w:pPr>
      <w:r>
        <w:rPr>
          <w:lang w:val="en-US"/>
        </w:rPr>
        <w:t>For</w:t>
      </w:r>
      <w:r w:rsidRPr="00657486">
        <w:rPr>
          <w:lang w:val="en-US"/>
        </w:rPr>
        <w:t xml:space="preserve"> </w:t>
      </w:r>
      <w:proofErr w:type="spellStart"/>
      <w:r w:rsidR="00C0260F">
        <w:rPr>
          <w:lang w:val="en-US"/>
        </w:rPr>
        <w:t>UMi</w:t>
      </w:r>
      <w:proofErr w:type="spellEnd"/>
      <w:r w:rsidRPr="00657486">
        <w:rPr>
          <w:lang w:val="en-US"/>
        </w:rPr>
        <w:t xml:space="preserve"> scenario</w:t>
      </w:r>
      <w:r>
        <w:rPr>
          <w:lang w:val="en-US"/>
        </w:rPr>
        <w:t>, the</w:t>
      </w:r>
      <w:r w:rsidRPr="00657486">
        <w:rPr>
          <w:lang w:val="en-US"/>
        </w:rPr>
        <w:t xml:space="preserve"> maximum </w:t>
      </w:r>
      <w:r>
        <w:rPr>
          <w:lang w:val="en-US"/>
        </w:rPr>
        <w:t>DL SINR and throughput gains due to spherical coverage are reported in the following tables. The gain is computed comparing 2x2 panels with the worst single panel performance</w:t>
      </w:r>
      <w:r w:rsidRPr="00657486">
        <w:rPr>
          <w:lang w:val="en-US"/>
        </w:rPr>
        <w:t>:</w:t>
      </w:r>
    </w:p>
    <w:tbl>
      <w:tblPr>
        <w:tblW w:w="9900" w:type="dxa"/>
        <w:jc w:val="center"/>
        <w:tblLook w:val="04A0" w:firstRow="1" w:lastRow="0" w:firstColumn="1" w:lastColumn="0" w:noHBand="0" w:noVBand="1"/>
      </w:tblPr>
      <w:tblGrid>
        <w:gridCol w:w="3330"/>
        <w:gridCol w:w="1440"/>
        <w:gridCol w:w="1440"/>
        <w:gridCol w:w="1710"/>
        <w:gridCol w:w="1710"/>
        <w:gridCol w:w="270"/>
      </w:tblGrid>
      <w:tr w:rsidR="00BE089E" w:rsidRPr="00657486" w:rsidTr="009014EE">
        <w:trPr>
          <w:gridAfter w:val="1"/>
          <w:wAfter w:w="270" w:type="dxa"/>
          <w:trHeight w:val="330"/>
          <w:jc w:val="center"/>
        </w:trPr>
        <w:tc>
          <w:tcPr>
            <w:tcW w:w="3330" w:type="dxa"/>
            <w:tcBorders>
              <w:top w:val="nil"/>
              <w:left w:val="nil"/>
              <w:bottom w:val="nil"/>
              <w:right w:val="nil"/>
            </w:tcBorders>
            <w:shd w:val="clear" w:color="auto" w:fill="auto"/>
            <w:noWrap/>
            <w:vAlign w:val="bottom"/>
            <w:hideMark/>
          </w:tcPr>
          <w:p w:rsidR="00BE089E" w:rsidRPr="00657486" w:rsidRDefault="00BE089E" w:rsidP="009014EE">
            <w:pPr>
              <w:spacing w:after="0"/>
              <w:ind w:left="-102"/>
              <w:rPr>
                <w:szCs w:val="24"/>
                <w:lang w:val="en-US"/>
              </w:rPr>
            </w:pPr>
          </w:p>
        </w:tc>
        <w:tc>
          <w:tcPr>
            <w:tcW w:w="630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E089E" w:rsidRPr="00657486" w:rsidRDefault="00BE089E" w:rsidP="009014EE">
            <w:pPr>
              <w:spacing w:after="0"/>
              <w:ind w:left="-102"/>
              <w:jc w:val="center"/>
              <w:rPr>
                <w:b/>
                <w:bCs/>
                <w:color w:val="000000"/>
                <w:szCs w:val="24"/>
                <w:lang w:val="en-US"/>
              </w:rPr>
            </w:pPr>
            <w:r w:rsidRPr="00657486">
              <w:rPr>
                <w:b/>
                <w:bCs/>
                <w:color w:val="000000"/>
                <w:szCs w:val="24"/>
                <w:lang w:val="en-US"/>
              </w:rPr>
              <w:t xml:space="preserve">SINR </w:t>
            </w:r>
            <w:r w:rsidR="00A41C7E" w:rsidRPr="00657486">
              <w:rPr>
                <w:b/>
                <w:bCs/>
                <w:color w:val="000000"/>
                <w:szCs w:val="24"/>
                <w:lang w:val="en-US"/>
              </w:rPr>
              <w:t xml:space="preserve">maximum </w:t>
            </w:r>
            <w:r w:rsidRPr="00657486">
              <w:rPr>
                <w:b/>
                <w:bCs/>
                <w:color w:val="000000"/>
                <w:szCs w:val="24"/>
                <w:lang w:val="en-US"/>
              </w:rPr>
              <w:t>gain [dB] of spherical versus semi-spherical</w:t>
            </w:r>
          </w:p>
        </w:tc>
      </w:tr>
      <w:tr w:rsidR="0036383F" w:rsidRPr="00657486" w:rsidTr="009014EE">
        <w:trPr>
          <w:gridAfter w:val="1"/>
          <w:wAfter w:w="270" w:type="dxa"/>
          <w:trHeight w:val="330"/>
          <w:jc w:val="center"/>
        </w:trPr>
        <w:tc>
          <w:tcPr>
            <w:tcW w:w="3330" w:type="dxa"/>
            <w:vMerge w:val="restart"/>
            <w:tcBorders>
              <w:top w:val="single" w:sz="8" w:space="0" w:color="auto"/>
              <w:left w:val="single" w:sz="8" w:space="0" w:color="auto"/>
              <w:right w:val="nil"/>
            </w:tcBorders>
            <w:shd w:val="clear" w:color="auto" w:fill="auto"/>
            <w:noWrap/>
            <w:vAlign w:val="center"/>
            <w:hideMark/>
          </w:tcPr>
          <w:p w:rsidR="0036383F" w:rsidRPr="00657486" w:rsidRDefault="0036383F" w:rsidP="009014EE">
            <w:pPr>
              <w:spacing w:after="0"/>
              <w:ind w:left="-102"/>
              <w:jc w:val="center"/>
              <w:rPr>
                <w:b/>
                <w:bCs/>
                <w:color w:val="000000"/>
                <w:szCs w:val="24"/>
                <w:lang w:val="en-US"/>
              </w:rPr>
            </w:pPr>
            <w:r w:rsidRPr="00657486">
              <w:rPr>
                <w:b/>
                <w:bCs/>
                <w:color w:val="000000"/>
                <w:szCs w:val="24"/>
                <w:lang w:val="en-US"/>
              </w:rPr>
              <w:t>Approach – % indoor UE</w:t>
            </w:r>
          </w:p>
        </w:tc>
        <w:tc>
          <w:tcPr>
            <w:tcW w:w="2880" w:type="dxa"/>
            <w:gridSpan w:val="2"/>
            <w:tcBorders>
              <w:top w:val="nil"/>
              <w:left w:val="single" w:sz="8" w:space="0" w:color="auto"/>
              <w:bottom w:val="single" w:sz="8" w:space="0" w:color="auto"/>
              <w:right w:val="single" w:sz="4" w:space="0" w:color="auto"/>
            </w:tcBorders>
            <w:shd w:val="clear" w:color="auto" w:fill="auto"/>
            <w:noWrap/>
            <w:vAlign w:val="bottom"/>
            <w:hideMark/>
          </w:tcPr>
          <w:p w:rsidR="0036383F" w:rsidRPr="00657486" w:rsidRDefault="0036383F" w:rsidP="009014EE">
            <w:pPr>
              <w:spacing w:after="0"/>
              <w:ind w:left="-102"/>
              <w:jc w:val="center"/>
              <w:rPr>
                <w:b/>
                <w:bCs/>
                <w:color w:val="000000"/>
                <w:szCs w:val="24"/>
                <w:lang w:val="en-US"/>
              </w:rPr>
            </w:pPr>
            <w:r w:rsidRPr="00657486">
              <w:rPr>
                <w:b/>
                <w:bCs/>
                <w:color w:val="000000"/>
                <w:szCs w:val="24"/>
                <w:lang w:val="en-US"/>
              </w:rPr>
              <w:t>50%-tile</w:t>
            </w:r>
          </w:p>
        </w:tc>
        <w:tc>
          <w:tcPr>
            <w:tcW w:w="3420" w:type="dxa"/>
            <w:gridSpan w:val="2"/>
            <w:tcBorders>
              <w:top w:val="nil"/>
              <w:left w:val="nil"/>
              <w:bottom w:val="single" w:sz="8" w:space="0" w:color="auto"/>
              <w:right w:val="single" w:sz="8" w:space="0" w:color="auto"/>
            </w:tcBorders>
            <w:shd w:val="clear" w:color="auto" w:fill="auto"/>
            <w:noWrap/>
            <w:vAlign w:val="bottom"/>
            <w:hideMark/>
          </w:tcPr>
          <w:p w:rsidR="0036383F" w:rsidRPr="00657486" w:rsidRDefault="0036383F" w:rsidP="009014EE">
            <w:pPr>
              <w:spacing w:after="0"/>
              <w:ind w:left="-102"/>
              <w:jc w:val="center"/>
              <w:rPr>
                <w:b/>
                <w:bCs/>
                <w:color w:val="000000"/>
                <w:szCs w:val="24"/>
                <w:lang w:val="en-US"/>
              </w:rPr>
            </w:pPr>
            <w:r w:rsidRPr="00657486">
              <w:rPr>
                <w:b/>
                <w:bCs/>
                <w:color w:val="000000"/>
                <w:szCs w:val="24"/>
                <w:lang w:val="en-US"/>
              </w:rPr>
              <w:t>5%-tile</w:t>
            </w:r>
          </w:p>
        </w:tc>
      </w:tr>
      <w:tr w:rsidR="0036383F" w:rsidRPr="00657486" w:rsidTr="009014EE">
        <w:trPr>
          <w:trHeight w:val="330"/>
          <w:jc w:val="center"/>
        </w:trPr>
        <w:tc>
          <w:tcPr>
            <w:tcW w:w="3330" w:type="dxa"/>
            <w:vMerge/>
            <w:tcBorders>
              <w:left w:val="single" w:sz="8" w:space="0" w:color="auto"/>
              <w:bottom w:val="single" w:sz="8" w:space="0" w:color="auto"/>
              <w:right w:val="nil"/>
            </w:tcBorders>
            <w:shd w:val="clear" w:color="auto" w:fill="auto"/>
            <w:noWrap/>
            <w:vAlign w:val="bottom"/>
          </w:tcPr>
          <w:p w:rsidR="0036383F" w:rsidRPr="00657486" w:rsidRDefault="0036383F" w:rsidP="009014EE">
            <w:pPr>
              <w:spacing w:after="0"/>
              <w:ind w:left="-102"/>
              <w:jc w:val="center"/>
              <w:rPr>
                <w:b/>
                <w:bCs/>
                <w:color w:val="000000"/>
                <w:szCs w:val="24"/>
                <w:lang w:val="en-US"/>
              </w:rPr>
            </w:pPr>
          </w:p>
        </w:tc>
        <w:tc>
          <w:tcPr>
            <w:tcW w:w="1440" w:type="dxa"/>
            <w:tcBorders>
              <w:top w:val="nil"/>
              <w:left w:val="single" w:sz="8" w:space="0" w:color="auto"/>
              <w:bottom w:val="single" w:sz="8" w:space="0" w:color="auto"/>
              <w:right w:val="single" w:sz="4" w:space="0" w:color="auto"/>
            </w:tcBorders>
            <w:shd w:val="clear" w:color="auto" w:fill="auto"/>
            <w:noWrap/>
            <w:vAlign w:val="bottom"/>
          </w:tcPr>
          <w:p w:rsidR="0036383F" w:rsidRPr="00657486" w:rsidRDefault="0036383F" w:rsidP="009014EE">
            <w:pPr>
              <w:spacing w:after="0"/>
              <w:ind w:left="-102"/>
              <w:jc w:val="center"/>
              <w:rPr>
                <w:b/>
                <w:color w:val="000000"/>
                <w:szCs w:val="24"/>
                <w:lang w:val="en-US"/>
              </w:rPr>
            </w:pPr>
            <w:r w:rsidRPr="00657486">
              <w:rPr>
                <w:b/>
                <w:color w:val="000000"/>
                <w:szCs w:val="24"/>
                <w:lang w:val="en-US"/>
              </w:rPr>
              <w:t>ISD = 200m</w:t>
            </w:r>
          </w:p>
        </w:tc>
        <w:tc>
          <w:tcPr>
            <w:tcW w:w="1440" w:type="dxa"/>
            <w:tcBorders>
              <w:top w:val="nil"/>
              <w:left w:val="single" w:sz="8" w:space="0" w:color="auto"/>
              <w:bottom w:val="single" w:sz="8" w:space="0" w:color="auto"/>
              <w:right w:val="single" w:sz="4"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b/>
                <w:color w:val="000000"/>
                <w:szCs w:val="24"/>
                <w:lang w:val="en-US"/>
              </w:rPr>
              <w:t>ISD = 300m</w:t>
            </w:r>
          </w:p>
        </w:tc>
        <w:tc>
          <w:tcPr>
            <w:tcW w:w="1710" w:type="dxa"/>
            <w:tcBorders>
              <w:top w:val="nil"/>
              <w:left w:val="single" w:sz="8" w:space="0" w:color="auto"/>
              <w:bottom w:val="single" w:sz="8" w:space="0" w:color="auto"/>
              <w:right w:val="single" w:sz="8" w:space="0" w:color="auto"/>
            </w:tcBorders>
            <w:shd w:val="clear" w:color="auto" w:fill="auto"/>
            <w:noWrap/>
            <w:vAlign w:val="bottom"/>
          </w:tcPr>
          <w:p w:rsidR="0036383F" w:rsidRPr="00657486" w:rsidRDefault="0036383F" w:rsidP="009014EE">
            <w:pPr>
              <w:spacing w:after="0"/>
              <w:ind w:left="-102"/>
              <w:jc w:val="center"/>
              <w:rPr>
                <w:color w:val="000000"/>
                <w:szCs w:val="24"/>
                <w:lang w:val="en-US"/>
              </w:rPr>
            </w:pPr>
            <w:r w:rsidRPr="00657486">
              <w:rPr>
                <w:b/>
                <w:color w:val="000000"/>
                <w:szCs w:val="24"/>
                <w:lang w:val="en-US"/>
              </w:rPr>
              <w:t>ISD = 200m</w:t>
            </w:r>
          </w:p>
        </w:tc>
        <w:tc>
          <w:tcPr>
            <w:tcW w:w="1710" w:type="dxa"/>
            <w:tcBorders>
              <w:top w:val="nil"/>
              <w:left w:val="single" w:sz="8" w:space="0" w:color="auto"/>
              <w:bottom w:val="single" w:sz="8" w:space="0" w:color="auto"/>
              <w:right w:val="single" w:sz="8"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b/>
                <w:color w:val="000000"/>
                <w:szCs w:val="24"/>
                <w:lang w:val="en-US"/>
              </w:rPr>
              <w:t>ISD = 300m</w:t>
            </w:r>
          </w:p>
        </w:tc>
        <w:tc>
          <w:tcPr>
            <w:tcW w:w="270" w:type="dxa"/>
            <w:vAlign w:val="bottom"/>
          </w:tcPr>
          <w:p w:rsidR="0036383F" w:rsidRPr="00657486" w:rsidRDefault="0036383F" w:rsidP="009014EE">
            <w:pPr>
              <w:spacing w:after="0"/>
              <w:ind w:left="-102"/>
            </w:pPr>
          </w:p>
        </w:tc>
      </w:tr>
      <w:tr w:rsidR="0036383F" w:rsidRPr="00657486" w:rsidTr="009014EE">
        <w:trPr>
          <w:gridAfter w:val="1"/>
          <w:wAfter w:w="270" w:type="dxa"/>
          <w:trHeight w:val="330"/>
          <w:jc w:val="center"/>
        </w:trPr>
        <w:tc>
          <w:tcPr>
            <w:tcW w:w="3330" w:type="dxa"/>
            <w:tcBorders>
              <w:top w:val="nil"/>
              <w:left w:val="single" w:sz="8" w:space="0" w:color="auto"/>
              <w:bottom w:val="single" w:sz="8" w:space="0" w:color="auto"/>
              <w:right w:val="nil"/>
            </w:tcBorders>
            <w:shd w:val="clear" w:color="auto" w:fill="auto"/>
            <w:noWrap/>
            <w:vAlign w:val="bottom"/>
            <w:hideMark/>
          </w:tcPr>
          <w:p w:rsidR="0036383F" w:rsidRPr="00657486" w:rsidRDefault="0036383F" w:rsidP="009014EE">
            <w:pPr>
              <w:spacing w:after="0"/>
              <w:ind w:left="-102"/>
              <w:jc w:val="center"/>
              <w:rPr>
                <w:b/>
                <w:bCs/>
                <w:color w:val="000000"/>
                <w:szCs w:val="24"/>
                <w:lang w:val="en-US"/>
              </w:rPr>
            </w:pPr>
            <w:r w:rsidRPr="00657486">
              <w:rPr>
                <w:b/>
                <w:bCs/>
                <w:color w:val="000000"/>
                <w:szCs w:val="24"/>
                <w:lang w:val="en-US"/>
              </w:rPr>
              <w:t>Classic – 0%</w:t>
            </w:r>
          </w:p>
        </w:tc>
        <w:tc>
          <w:tcPr>
            <w:tcW w:w="1440" w:type="dxa"/>
            <w:tcBorders>
              <w:top w:val="nil"/>
              <w:left w:val="single" w:sz="8" w:space="0" w:color="auto"/>
              <w:bottom w:val="single" w:sz="8" w:space="0" w:color="auto"/>
              <w:right w:val="single" w:sz="4" w:space="0" w:color="auto"/>
            </w:tcBorders>
            <w:shd w:val="clear" w:color="auto" w:fill="auto"/>
            <w:noWrap/>
            <w:vAlign w:val="bottom"/>
            <w:hideMark/>
          </w:tcPr>
          <w:p w:rsidR="0036383F" w:rsidRPr="00657486" w:rsidRDefault="0036383F" w:rsidP="009014EE">
            <w:pPr>
              <w:spacing w:after="0"/>
              <w:ind w:left="-102"/>
              <w:jc w:val="center"/>
              <w:rPr>
                <w:color w:val="000000"/>
                <w:szCs w:val="24"/>
                <w:lang w:val="en-US"/>
              </w:rPr>
            </w:pPr>
            <w:r w:rsidRPr="00657486">
              <w:rPr>
                <w:color w:val="000000"/>
                <w:szCs w:val="24"/>
                <w:lang w:val="en-US"/>
              </w:rPr>
              <w:t>3.8</w:t>
            </w:r>
          </w:p>
        </w:tc>
        <w:tc>
          <w:tcPr>
            <w:tcW w:w="1440" w:type="dxa"/>
            <w:tcBorders>
              <w:top w:val="nil"/>
              <w:left w:val="single" w:sz="8" w:space="0" w:color="auto"/>
              <w:bottom w:val="single" w:sz="8" w:space="0" w:color="auto"/>
              <w:right w:val="single" w:sz="4"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4.4</w:t>
            </w:r>
          </w:p>
        </w:tc>
        <w:tc>
          <w:tcPr>
            <w:tcW w:w="1710" w:type="dxa"/>
            <w:tcBorders>
              <w:top w:val="nil"/>
              <w:left w:val="single" w:sz="8" w:space="0" w:color="auto"/>
              <w:bottom w:val="single" w:sz="8" w:space="0" w:color="auto"/>
              <w:right w:val="single" w:sz="8" w:space="0" w:color="auto"/>
            </w:tcBorders>
            <w:shd w:val="clear" w:color="auto" w:fill="auto"/>
            <w:noWrap/>
            <w:vAlign w:val="bottom"/>
            <w:hideMark/>
          </w:tcPr>
          <w:p w:rsidR="0036383F" w:rsidRPr="00657486" w:rsidRDefault="0036383F" w:rsidP="009014EE">
            <w:pPr>
              <w:spacing w:after="0"/>
              <w:ind w:left="-102"/>
              <w:jc w:val="center"/>
              <w:rPr>
                <w:color w:val="000000"/>
                <w:szCs w:val="24"/>
                <w:lang w:val="en-US"/>
              </w:rPr>
            </w:pPr>
            <w:r w:rsidRPr="00657486">
              <w:rPr>
                <w:color w:val="000000"/>
                <w:szCs w:val="24"/>
                <w:lang w:val="en-US"/>
              </w:rPr>
              <w:t>3.6</w:t>
            </w:r>
          </w:p>
        </w:tc>
        <w:tc>
          <w:tcPr>
            <w:tcW w:w="1710" w:type="dxa"/>
            <w:tcBorders>
              <w:top w:val="nil"/>
              <w:left w:val="single" w:sz="8" w:space="0" w:color="auto"/>
              <w:bottom w:val="single" w:sz="8" w:space="0" w:color="auto"/>
              <w:right w:val="single" w:sz="8"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4.6</w:t>
            </w:r>
          </w:p>
        </w:tc>
      </w:tr>
      <w:tr w:rsidR="0036383F" w:rsidRPr="00657486" w:rsidTr="009014EE">
        <w:trPr>
          <w:gridAfter w:val="1"/>
          <w:wAfter w:w="270" w:type="dxa"/>
          <w:trHeight w:val="330"/>
          <w:jc w:val="center"/>
        </w:trPr>
        <w:tc>
          <w:tcPr>
            <w:tcW w:w="3330" w:type="dxa"/>
            <w:tcBorders>
              <w:top w:val="nil"/>
              <w:left w:val="single" w:sz="8" w:space="0" w:color="auto"/>
              <w:bottom w:val="single" w:sz="4" w:space="0" w:color="auto"/>
              <w:right w:val="nil"/>
            </w:tcBorders>
            <w:shd w:val="clear" w:color="auto" w:fill="auto"/>
            <w:noWrap/>
            <w:vAlign w:val="bottom"/>
            <w:hideMark/>
          </w:tcPr>
          <w:p w:rsidR="0036383F" w:rsidRPr="00657486" w:rsidRDefault="0036383F" w:rsidP="009014EE">
            <w:pPr>
              <w:spacing w:after="0"/>
              <w:ind w:left="-102"/>
              <w:jc w:val="center"/>
              <w:rPr>
                <w:b/>
                <w:bCs/>
                <w:color w:val="000000"/>
                <w:szCs w:val="24"/>
                <w:lang w:val="en-US"/>
              </w:rPr>
            </w:pPr>
            <w:r w:rsidRPr="00657486">
              <w:rPr>
                <w:b/>
                <w:bCs/>
                <w:color w:val="000000"/>
                <w:szCs w:val="24"/>
                <w:lang w:val="en-US"/>
              </w:rPr>
              <w:t>Flat – 0%</w:t>
            </w:r>
          </w:p>
        </w:tc>
        <w:tc>
          <w:tcPr>
            <w:tcW w:w="1440" w:type="dxa"/>
            <w:tcBorders>
              <w:top w:val="nil"/>
              <w:left w:val="single" w:sz="8" w:space="0" w:color="auto"/>
              <w:bottom w:val="single" w:sz="4" w:space="0" w:color="auto"/>
              <w:right w:val="single" w:sz="4" w:space="0" w:color="auto"/>
            </w:tcBorders>
            <w:shd w:val="clear" w:color="auto" w:fill="auto"/>
            <w:noWrap/>
            <w:vAlign w:val="bottom"/>
            <w:hideMark/>
          </w:tcPr>
          <w:p w:rsidR="0036383F" w:rsidRPr="00657486" w:rsidRDefault="0036383F" w:rsidP="009014EE">
            <w:pPr>
              <w:spacing w:after="0"/>
              <w:ind w:left="-102"/>
              <w:jc w:val="center"/>
              <w:rPr>
                <w:color w:val="000000"/>
                <w:szCs w:val="24"/>
                <w:lang w:val="en-US"/>
              </w:rPr>
            </w:pPr>
            <w:r w:rsidRPr="00657486">
              <w:rPr>
                <w:color w:val="000000"/>
                <w:szCs w:val="24"/>
                <w:lang w:val="en-US"/>
              </w:rPr>
              <w:t>6.4</w:t>
            </w:r>
          </w:p>
        </w:tc>
        <w:tc>
          <w:tcPr>
            <w:tcW w:w="1440" w:type="dxa"/>
            <w:tcBorders>
              <w:top w:val="nil"/>
              <w:left w:val="single" w:sz="8" w:space="0" w:color="auto"/>
              <w:bottom w:val="single" w:sz="4" w:space="0" w:color="auto"/>
              <w:right w:val="single" w:sz="4"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7.1</w:t>
            </w:r>
          </w:p>
        </w:tc>
        <w:tc>
          <w:tcPr>
            <w:tcW w:w="1710" w:type="dxa"/>
            <w:tcBorders>
              <w:top w:val="nil"/>
              <w:left w:val="single" w:sz="8" w:space="0" w:color="auto"/>
              <w:bottom w:val="single" w:sz="4" w:space="0" w:color="auto"/>
              <w:right w:val="single" w:sz="8" w:space="0" w:color="auto"/>
            </w:tcBorders>
            <w:shd w:val="clear" w:color="auto" w:fill="auto"/>
            <w:noWrap/>
            <w:vAlign w:val="bottom"/>
            <w:hideMark/>
          </w:tcPr>
          <w:p w:rsidR="0036383F" w:rsidRPr="00657486" w:rsidRDefault="0036383F" w:rsidP="009014EE">
            <w:pPr>
              <w:spacing w:after="0"/>
              <w:ind w:left="-102"/>
              <w:jc w:val="center"/>
              <w:rPr>
                <w:color w:val="000000"/>
                <w:szCs w:val="24"/>
                <w:lang w:val="en-US"/>
              </w:rPr>
            </w:pPr>
            <w:r w:rsidRPr="00657486">
              <w:rPr>
                <w:color w:val="000000"/>
                <w:szCs w:val="24"/>
                <w:lang w:val="en-US"/>
              </w:rPr>
              <w:t>10</w:t>
            </w:r>
          </w:p>
        </w:tc>
        <w:tc>
          <w:tcPr>
            <w:tcW w:w="1710" w:type="dxa"/>
            <w:tcBorders>
              <w:top w:val="nil"/>
              <w:left w:val="single" w:sz="8" w:space="0" w:color="auto"/>
              <w:bottom w:val="single" w:sz="4" w:space="0" w:color="auto"/>
              <w:right w:val="single" w:sz="8"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10.3</w:t>
            </w:r>
          </w:p>
        </w:tc>
      </w:tr>
      <w:tr w:rsidR="0036383F" w:rsidRPr="00657486" w:rsidTr="009014EE">
        <w:trPr>
          <w:gridAfter w:val="1"/>
          <w:wAfter w:w="27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36383F" w:rsidRPr="00657486" w:rsidRDefault="0036383F" w:rsidP="009014EE">
            <w:pPr>
              <w:spacing w:after="0"/>
              <w:ind w:left="-102"/>
              <w:jc w:val="center"/>
              <w:rPr>
                <w:b/>
                <w:bCs/>
                <w:color w:val="000000"/>
                <w:szCs w:val="24"/>
                <w:lang w:val="en-US"/>
              </w:rPr>
            </w:pPr>
            <w:r w:rsidRPr="00657486">
              <w:rPr>
                <w:b/>
                <w:bCs/>
                <w:color w:val="000000"/>
                <w:szCs w:val="24"/>
                <w:lang w:val="en-US"/>
              </w:rPr>
              <w:t>Classic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3.8</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4.3</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4.7</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5.1</w:t>
            </w:r>
          </w:p>
        </w:tc>
      </w:tr>
      <w:tr w:rsidR="0036383F" w:rsidRPr="00657486" w:rsidTr="009014EE">
        <w:trPr>
          <w:gridAfter w:val="1"/>
          <w:wAfter w:w="27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36383F" w:rsidRPr="00657486" w:rsidRDefault="0036383F" w:rsidP="009014EE">
            <w:pPr>
              <w:spacing w:after="0"/>
              <w:ind w:left="-102"/>
              <w:jc w:val="center"/>
              <w:rPr>
                <w:b/>
                <w:bCs/>
                <w:color w:val="000000"/>
                <w:szCs w:val="24"/>
                <w:lang w:val="en-US"/>
              </w:rPr>
            </w:pPr>
            <w:r w:rsidRPr="00657486">
              <w:rPr>
                <w:b/>
                <w:bCs/>
                <w:color w:val="000000"/>
                <w:szCs w:val="24"/>
                <w:lang w:val="en-US"/>
              </w:rPr>
              <w:t>Flat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6.8</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6.9</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8.8</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36383F" w:rsidRPr="00657486" w:rsidRDefault="0036383F" w:rsidP="009014EE">
            <w:pPr>
              <w:spacing w:after="0"/>
              <w:ind w:left="-102"/>
              <w:jc w:val="center"/>
              <w:rPr>
                <w:color w:val="000000"/>
                <w:szCs w:val="24"/>
                <w:lang w:val="en-US"/>
              </w:rPr>
            </w:pPr>
            <w:r w:rsidRPr="00657486">
              <w:rPr>
                <w:color w:val="000000"/>
                <w:szCs w:val="24"/>
                <w:lang w:val="en-US"/>
              </w:rPr>
              <w:t>8.9</w:t>
            </w:r>
          </w:p>
        </w:tc>
      </w:tr>
    </w:tbl>
    <w:p w:rsidR="003812C0" w:rsidRDefault="003812C0" w:rsidP="008708AF">
      <w:pPr>
        <w:jc w:val="both"/>
        <w:rPr>
          <w:b/>
          <w:i/>
          <w:lang w:val="en-US"/>
        </w:rPr>
      </w:pPr>
    </w:p>
    <w:tbl>
      <w:tblPr>
        <w:tblW w:w="9630" w:type="dxa"/>
        <w:jc w:val="center"/>
        <w:tblLook w:val="04A0" w:firstRow="1" w:lastRow="0" w:firstColumn="1" w:lastColumn="0" w:noHBand="0" w:noVBand="1"/>
      </w:tblPr>
      <w:tblGrid>
        <w:gridCol w:w="3130"/>
        <w:gridCol w:w="1472"/>
        <w:gridCol w:w="1474"/>
        <w:gridCol w:w="1748"/>
        <w:gridCol w:w="1568"/>
        <w:gridCol w:w="238"/>
      </w:tblGrid>
      <w:tr w:rsidR="003812C0" w:rsidRPr="00B246E3" w:rsidTr="00C0260F">
        <w:trPr>
          <w:gridAfter w:val="1"/>
          <w:wAfter w:w="238" w:type="dxa"/>
          <w:trHeight w:val="247"/>
          <w:jc w:val="center"/>
        </w:trPr>
        <w:tc>
          <w:tcPr>
            <w:tcW w:w="3130" w:type="dxa"/>
            <w:tcBorders>
              <w:top w:val="nil"/>
              <w:left w:val="nil"/>
              <w:bottom w:val="nil"/>
              <w:right w:val="nil"/>
            </w:tcBorders>
            <w:shd w:val="clear" w:color="auto" w:fill="auto"/>
            <w:noWrap/>
            <w:vAlign w:val="bottom"/>
            <w:hideMark/>
          </w:tcPr>
          <w:p w:rsidR="003812C0" w:rsidRPr="00B246E3" w:rsidRDefault="003812C0" w:rsidP="00B246E3">
            <w:pPr>
              <w:spacing w:after="0"/>
              <w:rPr>
                <w:szCs w:val="24"/>
                <w:lang w:val="en-US"/>
              </w:rPr>
            </w:pPr>
          </w:p>
        </w:tc>
        <w:tc>
          <w:tcPr>
            <w:tcW w:w="626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812C0" w:rsidRPr="00B246E3" w:rsidRDefault="003812C0" w:rsidP="006E4677">
            <w:pPr>
              <w:spacing w:after="0"/>
              <w:jc w:val="center"/>
              <w:rPr>
                <w:b/>
                <w:bCs/>
                <w:color w:val="000000"/>
                <w:szCs w:val="24"/>
                <w:lang w:val="en-US"/>
              </w:rPr>
            </w:pPr>
            <w:r w:rsidRPr="00B246E3">
              <w:rPr>
                <w:b/>
                <w:bCs/>
                <w:color w:val="000000"/>
                <w:szCs w:val="24"/>
                <w:lang w:val="en-US"/>
              </w:rPr>
              <w:t>Throughput maximum gain of spherical versus semi-spherical</w:t>
            </w:r>
          </w:p>
        </w:tc>
      </w:tr>
      <w:tr w:rsidR="003812C0" w:rsidRPr="00B246E3" w:rsidTr="00C0260F">
        <w:trPr>
          <w:gridAfter w:val="1"/>
          <w:wAfter w:w="238" w:type="dxa"/>
          <w:trHeight w:val="247"/>
          <w:jc w:val="center"/>
        </w:trPr>
        <w:tc>
          <w:tcPr>
            <w:tcW w:w="3130" w:type="dxa"/>
            <w:vMerge w:val="restart"/>
            <w:tcBorders>
              <w:top w:val="single" w:sz="8" w:space="0" w:color="auto"/>
              <w:left w:val="single" w:sz="8" w:space="0" w:color="auto"/>
              <w:right w:val="nil"/>
            </w:tcBorders>
            <w:shd w:val="clear" w:color="auto" w:fill="auto"/>
            <w:noWrap/>
            <w:vAlign w:val="center"/>
            <w:hideMark/>
          </w:tcPr>
          <w:p w:rsidR="003812C0" w:rsidRPr="00B246E3" w:rsidRDefault="003812C0" w:rsidP="006E4677">
            <w:pPr>
              <w:spacing w:after="0"/>
              <w:jc w:val="center"/>
              <w:rPr>
                <w:b/>
                <w:bCs/>
                <w:color w:val="000000"/>
                <w:szCs w:val="24"/>
                <w:lang w:val="en-US"/>
              </w:rPr>
            </w:pPr>
            <w:r w:rsidRPr="00B246E3">
              <w:rPr>
                <w:b/>
                <w:bCs/>
                <w:color w:val="000000"/>
                <w:szCs w:val="24"/>
                <w:lang w:val="en-US"/>
              </w:rPr>
              <w:t>Approach – % indoor UE</w:t>
            </w:r>
          </w:p>
        </w:tc>
        <w:tc>
          <w:tcPr>
            <w:tcW w:w="2946" w:type="dxa"/>
            <w:gridSpan w:val="2"/>
            <w:tcBorders>
              <w:top w:val="nil"/>
              <w:left w:val="single" w:sz="8" w:space="0" w:color="auto"/>
              <w:bottom w:val="single" w:sz="8" w:space="0" w:color="auto"/>
              <w:right w:val="single" w:sz="4" w:space="0" w:color="auto"/>
            </w:tcBorders>
            <w:shd w:val="clear" w:color="auto" w:fill="auto"/>
            <w:noWrap/>
            <w:vAlign w:val="bottom"/>
            <w:hideMark/>
          </w:tcPr>
          <w:p w:rsidR="003812C0" w:rsidRPr="00B246E3" w:rsidRDefault="003812C0" w:rsidP="006E4677">
            <w:pPr>
              <w:spacing w:after="0"/>
              <w:jc w:val="center"/>
              <w:rPr>
                <w:b/>
                <w:bCs/>
                <w:color w:val="000000"/>
                <w:szCs w:val="24"/>
                <w:lang w:val="en-US"/>
              </w:rPr>
            </w:pPr>
            <w:r w:rsidRPr="00B246E3">
              <w:rPr>
                <w:b/>
                <w:bCs/>
                <w:color w:val="000000"/>
                <w:szCs w:val="24"/>
                <w:lang w:val="en-US"/>
              </w:rPr>
              <w:t>50%-tile</w:t>
            </w:r>
          </w:p>
        </w:tc>
        <w:tc>
          <w:tcPr>
            <w:tcW w:w="3316" w:type="dxa"/>
            <w:gridSpan w:val="2"/>
            <w:tcBorders>
              <w:top w:val="nil"/>
              <w:left w:val="nil"/>
              <w:bottom w:val="single" w:sz="8" w:space="0" w:color="auto"/>
              <w:right w:val="single" w:sz="8" w:space="0" w:color="auto"/>
            </w:tcBorders>
            <w:shd w:val="clear" w:color="auto" w:fill="auto"/>
            <w:noWrap/>
            <w:vAlign w:val="bottom"/>
            <w:hideMark/>
          </w:tcPr>
          <w:p w:rsidR="003812C0" w:rsidRPr="00B246E3" w:rsidRDefault="003812C0" w:rsidP="006E4677">
            <w:pPr>
              <w:spacing w:after="0"/>
              <w:jc w:val="center"/>
              <w:rPr>
                <w:b/>
                <w:bCs/>
                <w:color w:val="000000"/>
                <w:szCs w:val="24"/>
                <w:lang w:val="en-US"/>
              </w:rPr>
            </w:pPr>
            <w:r w:rsidRPr="00B246E3">
              <w:rPr>
                <w:b/>
                <w:bCs/>
                <w:color w:val="000000"/>
                <w:szCs w:val="24"/>
                <w:lang w:val="en-US"/>
              </w:rPr>
              <w:t>5%-tile</w:t>
            </w:r>
          </w:p>
        </w:tc>
      </w:tr>
      <w:tr w:rsidR="003812C0" w:rsidRPr="00B246E3" w:rsidTr="00C0260F">
        <w:trPr>
          <w:trHeight w:val="247"/>
          <w:jc w:val="center"/>
        </w:trPr>
        <w:tc>
          <w:tcPr>
            <w:tcW w:w="3130" w:type="dxa"/>
            <w:vMerge/>
            <w:tcBorders>
              <w:left w:val="single" w:sz="8" w:space="0" w:color="auto"/>
              <w:bottom w:val="single" w:sz="8" w:space="0" w:color="auto"/>
              <w:right w:val="nil"/>
            </w:tcBorders>
            <w:shd w:val="clear" w:color="auto" w:fill="auto"/>
            <w:noWrap/>
            <w:vAlign w:val="bottom"/>
          </w:tcPr>
          <w:p w:rsidR="003812C0" w:rsidRPr="00B246E3" w:rsidRDefault="003812C0" w:rsidP="006E4677">
            <w:pPr>
              <w:spacing w:after="0"/>
              <w:jc w:val="center"/>
              <w:rPr>
                <w:b/>
                <w:bCs/>
                <w:color w:val="000000"/>
                <w:szCs w:val="24"/>
                <w:lang w:val="en-US"/>
              </w:rPr>
            </w:pPr>
          </w:p>
        </w:tc>
        <w:tc>
          <w:tcPr>
            <w:tcW w:w="1472" w:type="dxa"/>
            <w:tcBorders>
              <w:top w:val="nil"/>
              <w:left w:val="single" w:sz="8" w:space="0" w:color="auto"/>
              <w:bottom w:val="single" w:sz="8" w:space="0" w:color="auto"/>
              <w:right w:val="single" w:sz="4" w:space="0" w:color="auto"/>
            </w:tcBorders>
            <w:shd w:val="clear" w:color="auto" w:fill="auto"/>
            <w:noWrap/>
            <w:vAlign w:val="bottom"/>
          </w:tcPr>
          <w:p w:rsidR="003812C0" w:rsidRPr="00B246E3" w:rsidRDefault="003812C0" w:rsidP="006E4677">
            <w:pPr>
              <w:spacing w:after="0"/>
              <w:jc w:val="center"/>
              <w:rPr>
                <w:b/>
                <w:color w:val="000000"/>
                <w:szCs w:val="24"/>
                <w:lang w:val="en-US"/>
              </w:rPr>
            </w:pPr>
            <w:r w:rsidRPr="00B246E3">
              <w:rPr>
                <w:b/>
                <w:color w:val="000000"/>
                <w:szCs w:val="24"/>
                <w:lang w:val="en-US"/>
              </w:rPr>
              <w:t>ISD = 200m</w:t>
            </w:r>
          </w:p>
        </w:tc>
        <w:tc>
          <w:tcPr>
            <w:tcW w:w="1474" w:type="dxa"/>
            <w:tcBorders>
              <w:top w:val="nil"/>
              <w:left w:val="single" w:sz="8" w:space="0" w:color="auto"/>
              <w:bottom w:val="single" w:sz="8" w:space="0" w:color="auto"/>
              <w:right w:val="single" w:sz="4" w:space="0" w:color="auto"/>
            </w:tcBorders>
            <w:shd w:val="clear" w:color="auto" w:fill="auto"/>
            <w:vAlign w:val="bottom"/>
          </w:tcPr>
          <w:p w:rsidR="003812C0" w:rsidRPr="00B246E3" w:rsidRDefault="003812C0" w:rsidP="006E4677">
            <w:pPr>
              <w:spacing w:after="0"/>
              <w:jc w:val="center"/>
              <w:rPr>
                <w:color w:val="000000"/>
                <w:szCs w:val="24"/>
                <w:lang w:val="en-US"/>
              </w:rPr>
            </w:pPr>
            <w:r w:rsidRPr="00B246E3">
              <w:rPr>
                <w:b/>
                <w:color w:val="000000"/>
                <w:szCs w:val="24"/>
                <w:lang w:val="en-US"/>
              </w:rPr>
              <w:t>ISD = 300m</w:t>
            </w:r>
          </w:p>
        </w:tc>
        <w:tc>
          <w:tcPr>
            <w:tcW w:w="1748" w:type="dxa"/>
            <w:tcBorders>
              <w:top w:val="nil"/>
              <w:left w:val="single" w:sz="8" w:space="0" w:color="auto"/>
              <w:bottom w:val="single" w:sz="8" w:space="0" w:color="auto"/>
              <w:right w:val="single" w:sz="8" w:space="0" w:color="auto"/>
            </w:tcBorders>
            <w:shd w:val="clear" w:color="auto" w:fill="auto"/>
            <w:noWrap/>
            <w:vAlign w:val="bottom"/>
          </w:tcPr>
          <w:p w:rsidR="003812C0" w:rsidRPr="00B246E3" w:rsidRDefault="003812C0" w:rsidP="006E4677">
            <w:pPr>
              <w:spacing w:after="0"/>
              <w:jc w:val="center"/>
              <w:rPr>
                <w:color w:val="000000"/>
                <w:szCs w:val="24"/>
                <w:lang w:val="en-US"/>
              </w:rPr>
            </w:pPr>
            <w:r w:rsidRPr="00B246E3">
              <w:rPr>
                <w:b/>
                <w:color w:val="000000"/>
                <w:szCs w:val="24"/>
                <w:lang w:val="en-US"/>
              </w:rPr>
              <w:t>ISD = 200m</w:t>
            </w:r>
          </w:p>
        </w:tc>
        <w:tc>
          <w:tcPr>
            <w:tcW w:w="1568" w:type="dxa"/>
            <w:tcBorders>
              <w:top w:val="nil"/>
              <w:left w:val="single" w:sz="8" w:space="0" w:color="auto"/>
              <w:bottom w:val="single" w:sz="8" w:space="0" w:color="auto"/>
              <w:right w:val="single" w:sz="8" w:space="0" w:color="auto"/>
            </w:tcBorders>
            <w:shd w:val="clear" w:color="auto" w:fill="auto"/>
            <w:vAlign w:val="bottom"/>
          </w:tcPr>
          <w:p w:rsidR="003812C0" w:rsidRPr="00B246E3" w:rsidRDefault="003812C0" w:rsidP="006E4677">
            <w:pPr>
              <w:spacing w:after="0"/>
              <w:jc w:val="center"/>
              <w:rPr>
                <w:color w:val="000000"/>
                <w:szCs w:val="24"/>
                <w:lang w:val="en-US"/>
              </w:rPr>
            </w:pPr>
            <w:r w:rsidRPr="00B246E3">
              <w:rPr>
                <w:b/>
                <w:color w:val="000000"/>
                <w:szCs w:val="24"/>
                <w:lang w:val="en-US"/>
              </w:rPr>
              <w:t>ISD = 300m</w:t>
            </w:r>
          </w:p>
        </w:tc>
        <w:tc>
          <w:tcPr>
            <w:tcW w:w="238" w:type="dxa"/>
            <w:vAlign w:val="bottom"/>
          </w:tcPr>
          <w:p w:rsidR="003812C0" w:rsidRPr="00B246E3" w:rsidRDefault="003812C0" w:rsidP="006E4677">
            <w:pPr>
              <w:spacing w:after="0"/>
            </w:pPr>
          </w:p>
        </w:tc>
      </w:tr>
      <w:tr w:rsidR="00F641AB" w:rsidRPr="00B246E3" w:rsidTr="00C0260F">
        <w:trPr>
          <w:gridAfter w:val="1"/>
          <w:wAfter w:w="238" w:type="dxa"/>
          <w:trHeight w:val="247"/>
          <w:jc w:val="center"/>
        </w:trPr>
        <w:tc>
          <w:tcPr>
            <w:tcW w:w="3130" w:type="dxa"/>
            <w:tcBorders>
              <w:top w:val="nil"/>
              <w:left w:val="single" w:sz="8" w:space="0" w:color="auto"/>
              <w:bottom w:val="single" w:sz="8" w:space="0" w:color="auto"/>
              <w:right w:val="nil"/>
            </w:tcBorders>
            <w:shd w:val="clear" w:color="auto" w:fill="auto"/>
            <w:noWrap/>
            <w:vAlign w:val="bottom"/>
            <w:hideMark/>
          </w:tcPr>
          <w:p w:rsidR="00F641AB" w:rsidRPr="00B246E3" w:rsidRDefault="00F641AB" w:rsidP="00F641AB">
            <w:pPr>
              <w:spacing w:after="0"/>
              <w:jc w:val="center"/>
              <w:rPr>
                <w:b/>
                <w:bCs/>
                <w:color w:val="000000"/>
                <w:szCs w:val="24"/>
                <w:lang w:val="en-US"/>
              </w:rPr>
            </w:pPr>
            <w:proofErr w:type="spellStart"/>
            <w:r w:rsidRPr="00B246E3">
              <w:rPr>
                <w:b/>
                <w:bCs/>
                <w:color w:val="000000"/>
                <w:szCs w:val="24"/>
                <w:lang w:val="en-US"/>
              </w:rPr>
              <w:t>assic</w:t>
            </w:r>
            <w:proofErr w:type="spellEnd"/>
            <w:r w:rsidRPr="00B246E3">
              <w:rPr>
                <w:b/>
                <w:bCs/>
                <w:color w:val="000000"/>
                <w:szCs w:val="24"/>
                <w:lang w:val="en-US"/>
              </w:rPr>
              <w:t xml:space="preserve"> – 0%</w:t>
            </w:r>
          </w:p>
        </w:tc>
        <w:tc>
          <w:tcPr>
            <w:tcW w:w="1472" w:type="dxa"/>
            <w:tcBorders>
              <w:top w:val="nil"/>
              <w:left w:val="single" w:sz="8" w:space="0" w:color="auto"/>
              <w:bottom w:val="single" w:sz="8" w:space="0" w:color="auto"/>
              <w:right w:val="single" w:sz="4" w:space="0" w:color="auto"/>
            </w:tcBorders>
            <w:shd w:val="clear" w:color="auto" w:fill="auto"/>
            <w:noWrap/>
            <w:vAlign w:val="bottom"/>
          </w:tcPr>
          <w:p w:rsidR="00F641AB" w:rsidRPr="00B246E3" w:rsidRDefault="00F641AB" w:rsidP="00F641AB">
            <w:pPr>
              <w:spacing w:after="0"/>
              <w:jc w:val="center"/>
              <w:rPr>
                <w:color w:val="000000"/>
                <w:szCs w:val="24"/>
                <w:lang w:val="en-US"/>
              </w:rPr>
            </w:pPr>
            <w:r w:rsidRPr="00B246E3">
              <w:rPr>
                <w:color w:val="000000"/>
                <w:szCs w:val="24"/>
                <w:lang w:val="en-US"/>
              </w:rPr>
              <w:t>13%</w:t>
            </w:r>
          </w:p>
        </w:tc>
        <w:tc>
          <w:tcPr>
            <w:tcW w:w="1474" w:type="dxa"/>
            <w:tcBorders>
              <w:top w:val="nil"/>
              <w:left w:val="single" w:sz="8" w:space="0" w:color="auto"/>
              <w:bottom w:val="single" w:sz="8" w:space="0" w:color="auto"/>
              <w:right w:val="single" w:sz="4" w:space="0" w:color="auto"/>
            </w:tcBorders>
            <w:shd w:val="clear" w:color="auto" w:fill="auto"/>
            <w:vAlign w:val="bottom"/>
          </w:tcPr>
          <w:p w:rsidR="00F641AB" w:rsidRPr="00B246E3" w:rsidRDefault="00F641AB" w:rsidP="00F641AB">
            <w:pPr>
              <w:spacing w:after="0"/>
              <w:jc w:val="center"/>
              <w:rPr>
                <w:color w:val="000000"/>
                <w:szCs w:val="24"/>
                <w:lang w:val="en-US"/>
              </w:rPr>
            </w:pPr>
            <w:r w:rsidRPr="00B246E3">
              <w:rPr>
                <w:color w:val="000000"/>
                <w:szCs w:val="24"/>
                <w:lang w:val="en-US"/>
              </w:rPr>
              <w:t>18%</w:t>
            </w:r>
          </w:p>
        </w:tc>
        <w:tc>
          <w:tcPr>
            <w:tcW w:w="1748" w:type="dxa"/>
            <w:tcBorders>
              <w:top w:val="nil"/>
              <w:left w:val="single" w:sz="8" w:space="0" w:color="auto"/>
              <w:bottom w:val="single" w:sz="8" w:space="0" w:color="auto"/>
              <w:right w:val="single" w:sz="8" w:space="0" w:color="auto"/>
            </w:tcBorders>
            <w:shd w:val="clear" w:color="auto" w:fill="auto"/>
            <w:noWrap/>
            <w:vAlign w:val="bottom"/>
          </w:tcPr>
          <w:p w:rsidR="00F641AB" w:rsidRPr="00B246E3" w:rsidRDefault="00F641AB" w:rsidP="00F641AB">
            <w:pPr>
              <w:spacing w:after="0"/>
              <w:jc w:val="center"/>
              <w:rPr>
                <w:color w:val="000000"/>
                <w:szCs w:val="24"/>
                <w:lang w:val="en-US"/>
              </w:rPr>
            </w:pPr>
            <w:r w:rsidRPr="00B246E3">
              <w:rPr>
                <w:color w:val="000000"/>
                <w:szCs w:val="24"/>
                <w:lang w:val="en-US"/>
              </w:rPr>
              <w:t>23%</w:t>
            </w:r>
          </w:p>
        </w:tc>
        <w:tc>
          <w:tcPr>
            <w:tcW w:w="1568" w:type="dxa"/>
            <w:tcBorders>
              <w:top w:val="nil"/>
              <w:left w:val="single" w:sz="8" w:space="0" w:color="auto"/>
              <w:bottom w:val="single" w:sz="8" w:space="0" w:color="auto"/>
              <w:right w:val="single" w:sz="8" w:space="0" w:color="auto"/>
            </w:tcBorders>
            <w:shd w:val="clear" w:color="auto" w:fill="auto"/>
            <w:vAlign w:val="bottom"/>
          </w:tcPr>
          <w:p w:rsidR="00F641AB" w:rsidRPr="00B246E3" w:rsidRDefault="00F641AB" w:rsidP="00F641AB">
            <w:pPr>
              <w:spacing w:after="0"/>
              <w:jc w:val="center"/>
              <w:rPr>
                <w:color w:val="000000"/>
                <w:szCs w:val="24"/>
                <w:lang w:val="en-US"/>
              </w:rPr>
            </w:pPr>
            <w:r w:rsidRPr="00B246E3">
              <w:rPr>
                <w:color w:val="000000"/>
                <w:szCs w:val="24"/>
                <w:lang w:val="en-US"/>
              </w:rPr>
              <w:t>39%</w:t>
            </w:r>
          </w:p>
        </w:tc>
      </w:tr>
      <w:tr w:rsidR="00F641AB" w:rsidRPr="00B246E3" w:rsidTr="00C0260F">
        <w:trPr>
          <w:gridAfter w:val="1"/>
          <w:wAfter w:w="238" w:type="dxa"/>
          <w:trHeight w:val="247"/>
          <w:jc w:val="center"/>
        </w:trPr>
        <w:tc>
          <w:tcPr>
            <w:tcW w:w="3130" w:type="dxa"/>
            <w:tcBorders>
              <w:top w:val="nil"/>
              <w:left w:val="single" w:sz="8" w:space="0" w:color="auto"/>
              <w:bottom w:val="single" w:sz="4" w:space="0" w:color="auto"/>
              <w:right w:val="nil"/>
            </w:tcBorders>
            <w:shd w:val="clear" w:color="auto" w:fill="auto"/>
            <w:noWrap/>
            <w:vAlign w:val="bottom"/>
            <w:hideMark/>
          </w:tcPr>
          <w:p w:rsidR="00F641AB" w:rsidRPr="00B246E3" w:rsidRDefault="00F641AB" w:rsidP="00F641AB">
            <w:pPr>
              <w:spacing w:after="0"/>
              <w:jc w:val="center"/>
              <w:rPr>
                <w:b/>
                <w:bCs/>
                <w:color w:val="000000"/>
                <w:szCs w:val="24"/>
                <w:lang w:val="en-US"/>
              </w:rPr>
            </w:pPr>
            <w:r w:rsidRPr="00B246E3">
              <w:rPr>
                <w:b/>
                <w:bCs/>
                <w:color w:val="000000"/>
                <w:szCs w:val="24"/>
                <w:lang w:val="en-US"/>
              </w:rPr>
              <w:t>Flat – 0%</w:t>
            </w:r>
          </w:p>
        </w:tc>
        <w:tc>
          <w:tcPr>
            <w:tcW w:w="1472" w:type="dxa"/>
            <w:tcBorders>
              <w:top w:val="nil"/>
              <w:left w:val="single" w:sz="8" w:space="0" w:color="auto"/>
              <w:bottom w:val="single" w:sz="4" w:space="0" w:color="auto"/>
              <w:right w:val="single" w:sz="4" w:space="0" w:color="auto"/>
            </w:tcBorders>
            <w:shd w:val="clear" w:color="auto" w:fill="auto"/>
            <w:noWrap/>
            <w:vAlign w:val="bottom"/>
          </w:tcPr>
          <w:p w:rsidR="00F641AB" w:rsidRPr="00B246E3" w:rsidRDefault="00F641AB" w:rsidP="00F641AB">
            <w:pPr>
              <w:spacing w:after="0"/>
              <w:jc w:val="center"/>
              <w:rPr>
                <w:color w:val="000000"/>
                <w:szCs w:val="24"/>
                <w:lang w:val="en-US"/>
              </w:rPr>
            </w:pPr>
            <w:r w:rsidRPr="00B246E3">
              <w:rPr>
                <w:color w:val="000000"/>
                <w:szCs w:val="24"/>
                <w:lang w:val="en-US"/>
              </w:rPr>
              <w:t>22%</w:t>
            </w:r>
          </w:p>
        </w:tc>
        <w:tc>
          <w:tcPr>
            <w:tcW w:w="1474" w:type="dxa"/>
            <w:tcBorders>
              <w:top w:val="nil"/>
              <w:left w:val="single" w:sz="8" w:space="0" w:color="auto"/>
              <w:bottom w:val="single" w:sz="4" w:space="0" w:color="auto"/>
              <w:right w:val="single" w:sz="4" w:space="0" w:color="auto"/>
            </w:tcBorders>
            <w:shd w:val="clear" w:color="auto" w:fill="auto"/>
            <w:vAlign w:val="bottom"/>
          </w:tcPr>
          <w:p w:rsidR="00F641AB" w:rsidRPr="00B246E3" w:rsidRDefault="00F641AB" w:rsidP="00F641AB">
            <w:pPr>
              <w:spacing w:after="0"/>
              <w:jc w:val="center"/>
              <w:rPr>
                <w:color w:val="000000"/>
                <w:szCs w:val="24"/>
                <w:lang w:val="en-US"/>
              </w:rPr>
            </w:pPr>
            <w:r w:rsidRPr="00B246E3">
              <w:rPr>
                <w:color w:val="000000"/>
                <w:szCs w:val="24"/>
                <w:lang w:val="en-US"/>
              </w:rPr>
              <w:t>28%</w:t>
            </w:r>
          </w:p>
        </w:tc>
        <w:tc>
          <w:tcPr>
            <w:tcW w:w="1748" w:type="dxa"/>
            <w:tcBorders>
              <w:top w:val="nil"/>
              <w:left w:val="single" w:sz="8" w:space="0" w:color="auto"/>
              <w:bottom w:val="single" w:sz="4" w:space="0" w:color="auto"/>
              <w:right w:val="single" w:sz="8" w:space="0" w:color="auto"/>
            </w:tcBorders>
            <w:shd w:val="clear" w:color="auto" w:fill="auto"/>
            <w:noWrap/>
            <w:vAlign w:val="bottom"/>
          </w:tcPr>
          <w:p w:rsidR="00F641AB" w:rsidRPr="00B246E3" w:rsidRDefault="00F641AB" w:rsidP="00F641AB">
            <w:pPr>
              <w:spacing w:after="0"/>
              <w:jc w:val="center"/>
              <w:rPr>
                <w:color w:val="000000"/>
                <w:szCs w:val="24"/>
                <w:lang w:val="en-US"/>
              </w:rPr>
            </w:pPr>
            <w:r w:rsidRPr="00B246E3">
              <w:rPr>
                <w:color w:val="000000"/>
                <w:szCs w:val="24"/>
                <w:lang w:val="en-US"/>
              </w:rPr>
              <w:t>59%</w:t>
            </w:r>
          </w:p>
        </w:tc>
        <w:tc>
          <w:tcPr>
            <w:tcW w:w="1568" w:type="dxa"/>
            <w:tcBorders>
              <w:top w:val="nil"/>
              <w:left w:val="single" w:sz="8" w:space="0" w:color="auto"/>
              <w:bottom w:val="single" w:sz="4" w:space="0" w:color="auto"/>
              <w:right w:val="single" w:sz="8" w:space="0" w:color="auto"/>
            </w:tcBorders>
            <w:shd w:val="clear" w:color="auto" w:fill="auto"/>
            <w:vAlign w:val="bottom"/>
          </w:tcPr>
          <w:p w:rsidR="00F641AB" w:rsidRPr="00B246E3" w:rsidRDefault="00F641AB" w:rsidP="00F641AB">
            <w:pPr>
              <w:spacing w:after="0"/>
              <w:jc w:val="center"/>
              <w:rPr>
                <w:color w:val="000000"/>
                <w:szCs w:val="24"/>
                <w:lang w:val="en-US"/>
              </w:rPr>
            </w:pPr>
            <w:r w:rsidRPr="00B246E3">
              <w:rPr>
                <w:color w:val="000000"/>
                <w:szCs w:val="24"/>
                <w:lang w:val="en-US"/>
              </w:rPr>
              <w:t>73%</w:t>
            </w:r>
          </w:p>
        </w:tc>
      </w:tr>
      <w:tr w:rsidR="00960839" w:rsidRPr="00B246E3" w:rsidTr="00C0260F">
        <w:trPr>
          <w:gridAfter w:val="1"/>
          <w:wAfter w:w="238" w:type="dxa"/>
          <w:trHeight w:val="247"/>
          <w:jc w:val="center"/>
        </w:trPr>
        <w:tc>
          <w:tcPr>
            <w:tcW w:w="3130" w:type="dxa"/>
            <w:tcBorders>
              <w:top w:val="single" w:sz="4" w:space="0" w:color="auto"/>
              <w:left w:val="single" w:sz="8" w:space="0" w:color="auto"/>
              <w:bottom w:val="single" w:sz="4" w:space="0" w:color="auto"/>
              <w:right w:val="nil"/>
            </w:tcBorders>
            <w:shd w:val="clear" w:color="auto" w:fill="auto"/>
            <w:noWrap/>
            <w:vAlign w:val="bottom"/>
          </w:tcPr>
          <w:p w:rsidR="00960839" w:rsidRPr="00B246E3" w:rsidRDefault="00960839" w:rsidP="00960839">
            <w:pPr>
              <w:spacing w:after="0"/>
              <w:jc w:val="center"/>
              <w:rPr>
                <w:b/>
                <w:bCs/>
                <w:color w:val="000000"/>
                <w:szCs w:val="24"/>
                <w:lang w:val="en-US"/>
              </w:rPr>
            </w:pPr>
            <w:r w:rsidRPr="00B246E3">
              <w:rPr>
                <w:b/>
                <w:bCs/>
                <w:color w:val="000000"/>
                <w:szCs w:val="24"/>
                <w:lang w:val="en-US"/>
              </w:rPr>
              <w:t>Classic – 20%</w:t>
            </w:r>
          </w:p>
        </w:tc>
        <w:tc>
          <w:tcPr>
            <w:tcW w:w="1472" w:type="dxa"/>
            <w:tcBorders>
              <w:top w:val="single" w:sz="4" w:space="0" w:color="auto"/>
              <w:left w:val="single" w:sz="8" w:space="0" w:color="auto"/>
              <w:bottom w:val="single" w:sz="4" w:space="0" w:color="auto"/>
              <w:right w:val="single" w:sz="4" w:space="0" w:color="auto"/>
            </w:tcBorders>
            <w:shd w:val="clear" w:color="auto" w:fill="auto"/>
            <w:noWrap/>
            <w:vAlign w:val="bottom"/>
          </w:tcPr>
          <w:p w:rsidR="00960839" w:rsidRPr="00B246E3" w:rsidRDefault="00960839" w:rsidP="00960839">
            <w:pPr>
              <w:spacing w:after="0"/>
              <w:jc w:val="center"/>
              <w:rPr>
                <w:color w:val="000000"/>
                <w:szCs w:val="24"/>
                <w:lang w:val="en-US"/>
              </w:rPr>
            </w:pPr>
            <w:r w:rsidRPr="00B246E3">
              <w:rPr>
                <w:color w:val="000000"/>
                <w:szCs w:val="24"/>
                <w:lang w:val="en-US"/>
              </w:rPr>
              <w:t>14%</w:t>
            </w:r>
          </w:p>
        </w:tc>
        <w:tc>
          <w:tcPr>
            <w:tcW w:w="1474" w:type="dxa"/>
            <w:tcBorders>
              <w:top w:val="single" w:sz="4" w:space="0" w:color="auto"/>
              <w:left w:val="single" w:sz="8" w:space="0" w:color="auto"/>
              <w:bottom w:val="single" w:sz="4" w:space="0" w:color="auto"/>
              <w:right w:val="single" w:sz="4" w:space="0" w:color="auto"/>
            </w:tcBorders>
            <w:shd w:val="clear" w:color="auto" w:fill="auto"/>
            <w:vAlign w:val="bottom"/>
          </w:tcPr>
          <w:p w:rsidR="00960839" w:rsidRPr="00B246E3" w:rsidRDefault="00960839" w:rsidP="00960839">
            <w:pPr>
              <w:spacing w:after="0"/>
              <w:jc w:val="center"/>
              <w:rPr>
                <w:color w:val="000000"/>
                <w:szCs w:val="24"/>
                <w:lang w:val="en-US"/>
              </w:rPr>
            </w:pPr>
            <w:r w:rsidRPr="00B246E3">
              <w:rPr>
                <w:color w:val="000000"/>
                <w:szCs w:val="24"/>
                <w:lang w:val="en-US"/>
              </w:rPr>
              <w:t>19%</w:t>
            </w:r>
          </w:p>
        </w:tc>
        <w:tc>
          <w:tcPr>
            <w:tcW w:w="1748" w:type="dxa"/>
            <w:tcBorders>
              <w:top w:val="single" w:sz="4" w:space="0" w:color="auto"/>
              <w:left w:val="single" w:sz="8" w:space="0" w:color="auto"/>
              <w:bottom w:val="single" w:sz="4" w:space="0" w:color="auto"/>
              <w:right w:val="single" w:sz="8" w:space="0" w:color="auto"/>
            </w:tcBorders>
            <w:shd w:val="clear" w:color="auto" w:fill="auto"/>
            <w:noWrap/>
            <w:vAlign w:val="bottom"/>
          </w:tcPr>
          <w:p w:rsidR="00960839" w:rsidRPr="00B246E3" w:rsidRDefault="00960839" w:rsidP="00960839">
            <w:pPr>
              <w:spacing w:after="0"/>
              <w:jc w:val="center"/>
              <w:rPr>
                <w:color w:val="000000"/>
                <w:szCs w:val="24"/>
                <w:lang w:val="en-US"/>
              </w:rPr>
            </w:pPr>
            <w:r w:rsidRPr="00B246E3">
              <w:rPr>
                <w:color w:val="000000"/>
                <w:szCs w:val="24"/>
                <w:lang w:val="en-US"/>
              </w:rPr>
              <w:t>62%</w:t>
            </w:r>
          </w:p>
        </w:tc>
        <w:tc>
          <w:tcPr>
            <w:tcW w:w="1568" w:type="dxa"/>
            <w:tcBorders>
              <w:top w:val="single" w:sz="4" w:space="0" w:color="auto"/>
              <w:left w:val="single" w:sz="8" w:space="0" w:color="auto"/>
              <w:bottom w:val="single" w:sz="4" w:space="0" w:color="auto"/>
              <w:right w:val="single" w:sz="8" w:space="0" w:color="auto"/>
            </w:tcBorders>
            <w:shd w:val="clear" w:color="auto" w:fill="auto"/>
            <w:vAlign w:val="bottom"/>
          </w:tcPr>
          <w:p w:rsidR="00960839" w:rsidRPr="00B246E3" w:rsidRDefault="00960839" w:rsidP="00960839">
            <w:pPr>
              <w:spacing w:after="0"/>
              <w:jc w:val="center"/>
              <w:rPr>
                <w:color w:val="000000"/>
                <w:szCs w:val="24"/>
                <w:lang w:val="en-US"/>
              </w:rPr>
            </w:pPr>
            <w:r w:rsidRPr="00B246E3">
              <w:rPr>
                <w:color w:val="000000"/>
                <w:szCs w:val="24"/>
                <w:lang w:val="en-US"/>
              </w:rPr>
              <w:t>N.A.</w:t>
            </w:r>
          </w:p>
        </w:tc>
      </w:tr>
      <w:tr w:rsidR="00960839" w:rsidRPr="00B246E3" w:rsidTr="00C0260F">
        <w:trPr>
          <w:gridAfter w:val="1"/>
          <w:wAfter w:w="238" w:type="dxa"/>
          <w:trHeight w:val="247"/>
          <w:jc w:val="center"/>
        </w:trPr>
        <w:tc>
          <w:tcPr>
            <w:tcW w:w="3130" w:type="dxa"/>
            <w:tcBorders>
              <w:top w:val="single" w:sz="4" w:space="0" w:color="auto"/>
              <w:left w:val="single" w:sz="8" w:space="0" w:color="auto"/>
              <w:bottom w:val="single" w:sz="4" w:space="0" w:color="auto"/>
              <w:right w:val="nil"/>
            </w:tcBorders>
            <w:shd w:val="clear" w:color="auto" w:fill="auto"/>
            <w:noWrap/>
            <w:vAlign w:val="bottom"/>
          </w:tcPr>
          <w:p w:rsidR="00960839" w:rsidRPr="00B246E3" w:rsidRDefault="00960839" w:rsidP="00960839">
            <w:pPr>
              <w:spacing w:after="0"/>
              <w:jc w:val="center"/>
              <w:rPr>
                <w:b/>
                <w:bCs/>
                <w:color w:val="000000"/>
                <w:szCs w:val="24"/>
                <w:lang w:val="en-US"/>
              </w:rPr>
            </w:pPr>
            <w:r w:rsidRPr="00B246E3">
              <w:rPr>
                <w:b/>
                <w:bCs/>
                <w:color w:val="000000"/>
                <w:szCs w:val="24"/>
                <w:lang w:val="en-US"/>
              </w:rPr>
              <w:t>Flat – 20%</w:t>
            </w:r>
          </w:p>
        </w:tc>
        <w:tc>
          <w:tcPr>
            <w:tcW w:w="1472" w:type="dxa"/>
            <w:tcBorders>
              <w:top w:val="single" w:sz="4" w:space="0" w:color="auto"/>
              <w:left w:val="single" w:sz="8" w:space="0" w:color="auto"/>
              <w:bottom w:val="single" w:sz="4" w:space="0" w:color="auto"/>
              <w:right w:val="single" w:sz="4" w:space="0" w:color="auto"/>
            </w:tcBorders>
            <w:shd w:val="clear" w:color="auto" w:fill="auto"/>
            <w:noWrap/>
            <w:vAlign w:val="bottom"/>
          </w:tcPr>
          <w:p w:rsidR="00960839" w:rsidRPr="00B246E3" w:rsidRDefault="00960839" w:rsidP="00960839">
            <w:pPr>
              <w:spacing w:after="0"/>
              <w:jc w:val="center"/>
              <w:rPr>
                <w:color w:val="000000"/>
                <w:szCs w:val="24"/>
                <w:lang w:val="en-US"/>
              </w:rPr>
            </w:pPr>
            <w:r w:rsidRPr="00B246E3">
              <w:rPr>
                <w:color w:val="000000"/>
                <w:szCs w:val="24"/>
                <w:lang w:val="en-US"/>
              </w:rPr>
              <w:t>25%</w:t>
            </w:r>
          </w:p>
        </w:tc>
        <w:tc>
          <w:tcPr>
            <w:tcW w:w="1474" w:type="dxa"/>
            <w:tcBorders>
              <w:top w:val="single" w:sz="4" w:space="0" w:color="auto"/>
              <w:left w:val="single" w:sz="8" w:space="0" w:color="auto"/>
              <w:bottom w:val="single" w:sz="4" w:space="0" w:color="auto"/>
              <w:right w:val="single" w:sz="4" w:space="0" w:color="auto"/>
            </w:tcBorders>
            <w:shd w:val="clear" w:color="auto" w:fill="auto"/>
            <w:vAlign w:val="bottom"/>
          </w:tcPr>
          <w:p w:rsidR="00960839" w:rsidRPr="00B246E3" w:rsidRDefault="00960839" w:rsidP="00960839">
            <w:pPr>
              <w:spacing w:after="0"/>
              <w:jc w:val="center"/>
              <w:rPr>
                <w:color w:val="000000"/>
                <w:szCs w:val="24"/>
                <w:lang w:val="en-US"/>
              </w:rPr>
            </w:pPr>
            <w:r w:rsidRPr="00B246E3">
              <w:rPr>
                <w:color w:val="000000"/>
                <w:szCs w:val="24"/>
                <w:lang w:val="en-US"/>
              </w:rPr>
              <w:t>30%</w:t>
            </w:r>
          </w:p>
        </w:tc>
        <w:tc>
          <w:tcPr>
            <w:tcW w:w="1748" w:type="dxa"/>
            <w:tcBorders>
              <w:top w:val="single" w:sz="4" w:space="0" w:color="auto"/>
              <w:left w:val="single" w:sz="8" w:space="0" w:color="auto"/>
              <w:bottom w:val="single" w:sz="4" w:space="0" w:color="auto"/>
              <w:right w:val="single" w:sz="8" w:space="0" w:color="auto"/>
            </w:tcBorders>
            <w:shd w:val="clear" w:color="auto" w:fill="auto"/>
            <w:noWrap/>
            <w:vAlign w:val="bottom"/>
          </w:tcPr>
          <w:p w:rsidR="00960839" w:rsidRPr="00B246E3" w:rsidRDefault="00960839" w:rsidP="00960839">
            <w:pPr>
              <w:spacing w:after="0"/>
              <w:jc w:val="center"/>
              <w:rPr>
                <w:color w:val="000000"/>
                <w:szCs w:val="24"/>
                <w:lang w:val="en-US"/>
              </w:rPr>
            </w:pPr>
            <w:r w:rsidRPr="00B246E3">
              <w:rPr>
                <w:color w:val="000000"/>
                <w:szCs w:val="24"/>
                <w:lang w:val="en-US"/>
              </w:rPr>
              <w:t>100%</w:t>
            </w:r>
          </w:p>
        </w:tc>
        <w:tc>
          <w:tcPr>
            <w:tcW w:w="1568" w:type="dxa"/>
            <w:tcBorders>
              <w:top w:val="single" w:sz="4" w:space="0" w:color="auto"/>
              <w:left w:val="single" w:sz="8" w:space="0" w:color="auto"/>
              <w:bottom w:val="single" w:sz="4" w:space="0" w:color="auto"/>
              <w:right w:val="single" w:sz="8" w:space="0" w:color="auto"/>
            </w:tcBorders>
            <w:shd w:val="clear" w:color="auto" w:fill="auto"/>
            <w:vAlign w:val="bottom"/>
          </w:tcPr>
          <w:p w:rsidR="00960839" w:rsidRPr="00B246E3" w:rsidRDefault="00960839" w:rsidP="00960839">
            <w:pPr>
              <w:spacing w:after="0"/>
              <w:jc w:val="center"/>
              <w:rPr>
                <w:color w:val="000000"/>
                <w:szCs w:val="24"/>
                <w:lang w:val="en-US"/>
              </w:rPr>
            </w:pPr>
            <w:r w:rsidRPr="00B246E3">
              <w:rPr>
                <w:color w:val="000000"/>
                <w:szCs w:val="24"/>
                <w:lang w:val="en-US"/>
              </w:rPr>
              <w:t>N.A.</w:t>
            </w:r>
          </w:p>
        </w:tc>
      </w:tr>
    </w:tbl>
    <w:p w:rsidR="00252D94" w:rsidRDefault="002377F9" w:rsidP="00252D94">
      <w:pPr>
        <w:keepNext/>
        <w:jc w:val="center"/>
      </w:pPr>
      <w:r w:rsidRPr="002377F9">
        <w:rPr>
          <w:noProof/>
        </w:rPr>
        <w:drawing>
          <wp:inline distT="0" distB="0" distL="0" distR="0" wp14:anchorId="459D2C85" wp14:editId="4A4E48BD">
            <wp:extent cx="4873752" cy="36576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rsidR="00CB7B99" w:rsidRDefault="00252D94" w:rsidP="00C22524">
      <w:pPr>
        <w:pStyle w:val="Caption"/>
        <w:jc w:val="center"/>
      </w:pPr>
      <w:bookmarkStart w:id="11" w:name="_Ref503427734"/>
      <w:r>
        <w:t xml:space="preserve">Figure </w:t>
      </w:r>
      <w:r w:rsidR="000B4DA9">
        <w:fldChar w:fldCharType="begin"/>
      </w:r>
      <w:r w:rsidR="000B4DA9">
        <w:instrText xml:space="preserve"> SEQ Figure \* ARABIC </w:instrText>
      </w:r>
      <w:r w:rsidR="000B4DA9">
        <w:fldChar w:fldCharType="separate"/>
      </w:r>
      <w:r w:rsidR="007C5FAC">
        <w:rPr>
          <w:noProof/>
        </w:rPr>
        <w:t>3</w:t>
      </w:r>
      <w:r w:rsidR="000B4DA9">
        <w:fldChar w:fldCharType="end"/>
      </w:r>
      <w:bookmarkEnd w:id="11"/>
      <w:r>
        <w:t xml:space="preserve">. </w:t>
      </w:r>
      <w:r w:rsidR="00AD247B">
        <w:t xml:space="preserve">SINR CDF comparison in </w:t>
      </w:r>
      <w:proofErr w:type="spellStart"/>
      <w:r w:rsidR="00AD247B">
        <w:t>UMi</w:t>
      </w:r>
      <w:proofErr w:type="spellEnd"/>
      <w:r w:rsidR="00AD247B">
        <w:t xml:space="preserve"> - DL - between spherical and semi-spherical coverage either for Classic approach (continuous line) and Flat approach (dashed line) – all UEs outdoor</w:t>
      </w:r>
      <w:r w:rsidR="00CB7B99">
        <w:t xml:space="preserve"> – ISD = </w:t>
      </w:r>
      <w:r w:rsidR="00B42DE0">
        <w:t>200m.</w:t>
      </w:r>
      <w:r w:rsidR="002377F9" w:rsidRPr="002377F9">
        <w:rPr>
          <w:noProof/>
        </w:rPr>
        <w:drawing>
          <wp:inline distT="0" distB="0" distL="0" distR="0" wp14:anchorId="314DAC3B" wp14:editId="5B113E10">
            <wp:extent cx="4873752" cy="36576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rsidR="006E0743" w:rsidRDefault="006E0743" w:rsidP="006E0743">
      <w:pPr>
        <w:keepNext/>
        <w:jc w:val="center"/>
      </w:pPr>
    </w:p>
    <w:p w:rsidR="006E0743" w:rsidRDefault="006E0743" w:rsidP="006E0743">
      <w:pPr>
        <w:pStyle w:val="Caption"/>
        <w:jc w:val="center"/>
      </w:pPr>
      <w:bookmarkStart w:id="12" w:name="_Ref503428190"/>
      <w:r>
        <w:t xml:space="preserve">Figure </w:t>
      </w:r>
      <w:r w:rsidR="000B4DA9">
        <w:fldChar w:fldCharType="begin"/>
      </w:r>
      <w:r w:rsidR="000B4DA9">
        <w:instrText xml:space="preserve"> SEQ Figure \* ARABIC </w:instrText>
      </w:r>
      <w:r w:rsidR="000B4DA9">
        <w:fldChar w:fldCharType="separate"/>
      </w:r>
      <w:r w:rsidR="007C5FAC">
        <w:rPr>
          <w:noProof/>
        </w:rPr>
        <w:t>4</w:t>
      </w:r>
      <w:r w:rsidR="000B4DA9">
        <w:fldChar w:fldCharType="end"/>
      </w:r>
      <w:bookmarkEnd w:id="12"/>
      <w:r>
        <w:t>.</w:t>
      </w:r>
      <w:r w:rsidR="00CB7B99">
        <w:t xml:space="preserve"> SINR CDF comparison in </w:t>
      </w:r>
      <w:proofErr w:type="spellStart"/>
      <w:r w:rsidR="00CB7B99">
        <w:t>UMi</w:t>
      </w:r>
      <w:proofErr w:type="spellEnd"/>
      <w:r w:rsidR="00CB7B99">
        <w:t xml:space="preserve"> - DL - between spherical and semi-spherical coverage either for Classic approach (continuous line) and Flat approach (dashed line) – all UEs outdoor – ISD = </w:t>
      </w:r>
      <w:r w:rsidR="00B42DE0">
        <w:t>300m.</w:t>
      </w:r>
    </w:p>
    <w:p w:rsidR="005925C7" w:rsidRDefault="00DD30A9" w:rsidP="005925C7">
      <w:pPr>
        <w:keepNext/>
        <w:jc w:val="center"/>
      </w:pPr>
      <w:r w:rsidRPr="00DD30A9">
        <w:rPr>
          <w:noProof/>
        </w:rPr>
        <w:drawing>
          <wp:inline distT="0" distB="0" distL="0" distR="0" wp14:anchorId="145C629E" wp14:editId="19E9068C">
            <wp:extent cx="4873752" cy="36576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rsidR="005925C7" w:rsidRDefault="005925C7" w:rsidP="005925C7">
      <w:pPr>
        <w:pStyle w:val="Caption"/>
        <w:jc w:val="center"/>
      </w:pPr>
      <w:bookmarkStart w:id="13" w:name="_Ref503603877"/>
      <w:r>
        <w:t xml:space="preserve">Figure </w:t>
      </w:r>
      <w:r>
        <w:fldChar w:fldCharType="begin"/>
      </w:r>
      <w:r>
        <w:instrText xml:space="preserve"> SEQ Figure \* ARABIC </w:instrText>
      </w:r>
      <w:r>
        <w:fldChar w:fldCharType="separate"/>
      </w:r>
      <w:r w:rsidR="007C5FAC">
        <w:rPr>
          <w:noProof/>
        </w:rPr>
        <w:t>5</w:t>
      </w:r>
      <w:r>
        <w:fldChar w:fldCharType="end"/>
      </w:r>
      <w:bookmarkEnd w:id="13"/>
      <w:r>
        <w:t xml:space="preserve">. </w:t>
      </w:r>
      <w:r w:rsidRPr="006E06FB">
        <w:t xml:space="preserve">SINR CDF comparison in </w:t>
      </w:r>
      <w:proofErr w:type="spellStart"/>
      <w:r w:rsidRPr="006E06FB">
        <w:t>UMi</w:t>
      </w:r>
      <w:proofErr w:type="spellEnd"/>
      <w:r w:rsidRPr="006E06FB">
        <w:t xml:space="preserve"> - DL - between spherical and semi-spherical coverage either for Classic approach (continuous line) and Flat approach (dashed line) – </w:t>
      </w:r>
      <w:r>
        <w:t>20% of UEs are indoor</w:t>
      </w:r>
      <w:r w:rsidRPr="006E06FB">
        <w:t xml:space="preserve"> – ISD = </w:t>
      </w:r>
      <w:r w:rsidR="00B42DE0">
        <w:t>200m.</w:t>
      </w:r>
    </w:p>
    <w:p w:rsidR="005925C7" w:rsidRDefault="00DD30A9" w:rsidP="005925C7">
      <w:pPr>
        <w:keepNext/>
        <w:jc w:val="center"/>
      </w:pPr>
      <w:r w:rsidRPr="00DD30A9">
        <w:rPr>
          <w:noProof/>
        </w:rPr>
        <w:drawing>
          <wp:inline distT="0" distB="0" distL="0" distR="0" wp14:anchorId="6EE3620F" wp14:editId="0CE9FA68">
            <wp:extent cx="4873752" cy="36576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rsidR="005925C7" w:rsidRPr="005925C7" w:rsidRDefault="005925C7" w:rsidP="005925C7">
      <w:pPr>
        <w:pStyle w:val="Caption"/>
        <w:jc w:val="center"/>
      </w:pPr>
      <w:bookmarkStart w:id="14" w:name="_Ref503603901"/>
      <w:bookmarkStart w:id="15" w:name="_Ref503603893"/>
      <w:r>
        <w:t xml:space="preserve">Figure </w:t>
      </w:r>
      <w:r>
        <w:fldChar w:fldCharType="begin"/>
      </w:r>
      <w:r>
        <w:instrText xml:space="preserve"> SEQ Figure \* ARABIC </w:instrText>
      </w:r>
      <w:r>
        <w:fldChar w:fldCharType="separate"/>
      </w:r>
      <w:r w:rsidR="007C5FAC">
        <w:rPr>
          <w:noProof/>
        </w:rPr>
        <w:t>6</w:t>
      </w:r>
      <w:r>
        <w:fldChar w:fldCharType="end"/>
      </w:r>
      <w:bookmarkEnd w:id="14"/>
      <w:r>
        <w:t xml:space="preserve">. </w:t>
      </w:r>
      <w:r w:rsidRPr="006E06FB">
        <w:t xml:space="preserve">SINR CDF comparison in </w:t>
      </w:r>
      <w:proofErr w:type="spellStart"/>
      <w:r w:rsidRPr="006E06FB">
        <w:t>UMi</w:t>
      </w:r>
      <w:proofErr w:type="spellEnd"/>
      <w:r w:rsidRPr="006E06FB">
        <w:t xml:space="preserve"> - DL - between spherical and semi-spherical coverage either for Classic approach (continuous line) and Flat approach (dashed line) – </w:t>
      </w:r>
      <w:r>
        <w:t>20% of UEs are indoor</w:t>
      </w:r>
      <w:r w:rsidRPr="006E06FB">
        <w:t xml:space="preserve"> – ISD = </w:t>
      </w:r>
      <w:bookmarkEnd w:id="15"/>
      <w:r w:rsidR="00B42DE0">
        <w:t>300m.</w:t>
      </w:r>
    </w:p>
    <w:p w:rsidR="005925C7" w:rsidRPr="00CB7B99" w:rsidRDefault="005925C7" w:rsidP="005925C7">
      <w:pPr>
        <w:pStyle w:val="Heading2"/>
        <w:numPr>
          <w:ilvl w:val="0"/>
          <w:numId w:val="0"/>
        </w:numPr>
        <w:rPr>
          <w:sz w:val="28"/>
          <w:szCs w:val="28"/>
          <w:lang w:val="en-US"/>
        </w:rPr>
      </w:pPr>
      <w:r w:rsidRPr="00CB7B99">
        <w:rPr>
          <w:sz w:val="28"/>
          <w:szCs w:val="28"/>
          <w:lang w:val="en-US"/>
        </w:rPr>
        <w:lastRenderedPageBreak/>
        <w:t>2.2.2.</w:t>
      </w:r>
      <w:r>
        <w:rPr>
          <w:sz w:val="28"/>
          <w:szCs w:val="28"/>
          <w:lang w:val="en-US"/>
        </w:rPr>
        <w:t>2</w:t>
      </w:r>
      <w:r w:rsidRPr="00CB7B99">
        <w:rPr>
          <w:sz w:val="28"/>
          <w:szCs w:val="28"/>
          <w:lang w:val="en-US"/>
        </w:rPr>
        <w:t xml:space="preserve"> </w:t>
      </w:r>
      <w:proofErr w:type="spellStart"/>
      <w:r w:rsidRPr="00CB7B99">
        <w:rPr>
          <w:sz w:val="28"/>
          <w:szCs w:val="28"/>
          <w:lang w:val="en-US"/>
        </w:rPr>
        <w:t>UMi</w:t>
      </w:r>
      <w:proofErr w:type="spellEnd"/>
      <w:r w:rsidRPr="00CB7B99">
        <w:rPr>
          <w:sz w:val="28"/>
          <w:szCs w:val="28"/>
          <w:lang w:val="en-US"/>
        </w:rPr>
        <w:t xml:space="preserve"> </w:t>
      </w:r>
      <w:r>
        <w:rPr>
          <w:sz w:val="28"/>
          <w:szCs w:val="28"/>
          <w:lang w:val="en-US"/>
        </w:rPr>
        <w:t>U</w:t>
      </w:r>
      <w:r w:rsidRPr="00CB7B99">
        <w:rPr>
          <w:sz w:val="28"/>
          <w:szCs w:val="28"/>
          <w:lang w:val="en-US"/>
        </w:rPr>
        <w:t>L</w:t>
      </w:r>
    </w:p>
    <w:p w:rsidR="009A773F" w:rsidRDefault="007D3C53" w:rsidP="001F2E0B">
      <w:pPr>
        <w:jc w:val="both"/>
        <w:rPr>
          <w:lang w:val="en-US"/>
        </w:rPr>
      </w:pPr>
      <w:r>
        <w:rPr>
          <w:lang w:val="en-US"/>
        </w:rPr>
        <w:fldChar w:fldCharType="begin"/>
      </w:r>
      <w:r>
        <w:rPr>
          <w:lang w:val="en-US"/>
        </w:rPr>
        <w:instrText xml:space="preserve"> REF _Ref503605098 \h </w:instrText>
      </w:r>
      <w:r w:rsidR="00052C76">
        <w:rPr>
          <w:lang w:val="en-US"/>
        </w:rPr>
        <w:instrText xml:space="preserve"> \* MERGEFORMAT </w:instrText>
      </w:r>
      <w:r>
        <w:rPr>
          <w:lang w:val="en-US"/>
        </w:rPr>
      </w:r>
      <w:r>
        <w:rPr>
          <w:lang w:val="en-US"/>
        </w:rPr>
        <w:fldChar w:fldCharType="separate"/>
      </w:r>
      <w:r w:rsidR="007C5FAC">
        <w:t xml:space="preserve">Figure </w:t>
      </w:r>
      <w:r w:rsidR="007C5FAC">
        <w:rPr>
          <w:noProof/>
        </w:rPr>
        <w:t>7</w:t>
      </w:r>
      <w:r>
        <w:rPr>
          <w:lang w:val="en-US"/>
        </w:rPr>
        <w:fldChar w:fldCharType="end"/>
      </w:r>
      <w:r>
        <w:rPr>
          <w:lang w:val="en-US"/>
        </w:rPr>
        <w:t xml:space="preserve"> </w:t>
      </w:r>
      <w:r w:rsidR="00057950">
        <w:rPr>
          <w:lang w:val="en-US"/>
        </w:rPr>
        <w:t xml:space="preserve">and </w:t>
      </w:r>
      <w:r>
        <w:rPr>
          <w:lang w:val="en-US"/>
        </w:rPr>
        <w:fldChar w:fldCharType="begin"/>
      </w:r>
      <w:r>
        <w:rPr>
          <w:lang w:val="en-US"/>
        </w:rPr>
        <w:instrText xml:space="preserve"> REF _Ref503605112 \h </w:instrText>
      </w:r>
      <w:r w:rsidR="00052C76">
        <w:rPr>
          <w:lang w:val="en-US"/>
        </w:rPr>
        <w:instrText xml:space="preserve"> \* MERGEFORMAT </w:instrText>
      </w:r>
      <w:r>
        <w:rPr>
          <w:lang w:val="en-US"/>
        </w:rPr>
      </w:r>
      <w:r>
        <w:rPr>
          <w:lang w:val="en-US"/>
        </w:rPr>
        <w:fldChar w:fldCharType="separate"/>
      </w:r>
      <w:r w:rsidR="007C5FAC">
        <w:t xml:space="preserve">Figure </w:t>
      </w:r>
      <w:r w:rsidR="007C5FAC">
        <w:rPr>
          <w:noProof/>
        </w:rPr>
        <w:t>8</w:t>
      </w:r>
      <w:r>
        <w:rPr>
          <w:lang w:val="en-US"/>
        </w:rPr>
        <w:fldChar w:fldCharType="end"/>
      </w:r>
      <w:r w:rsidR="00057950">
        <w:rPr>
          <w:lang w:val="en-US"/>
        </w:rPr>
        <w:t xml:space="preserve"> show a comparison between SINR CDFs for </w:t>
      </w:r>
      <w:proofErr w:type="spellStart"/>
      <w:r w:rsidR="00057950">
        <w:rPr>
          <w:lang w:val="en-US"/>
        </w:rPr>
        <w:t>UMi</w:t>
      </w:r>
      <w:proofErr w:type="spellEnd"/>
      <w:r w:rsidR="00057950">
        <w:rPr>
          <w:lang w:val="en-US"/>
        </w:rPr>
        <w:t xml:space="preserve"> </w:t>
      </w:r>
      <w:r w:rsidR="009A773F">
        <w:rPr>
          <w:lang w:val="en-US"/>
        </w:rPr>
        <w:t>U</w:t>
      </w:r>
      <w:r w:rsidR="00057950">
        <w:rPr>
          <w:lang w:val="en-US"/>
        </w:rPr>
        <w:t xml:space="preserve">L for </w:t>
      </w:r>
      <w:r w:rsidR="00B42DE0">
        <w:rPr>
          <w:lang w:val="en-US"/>
        </w:rPr>
        <w:t xml:space="preserve">200m </w:t>
      </w:r>
      <w:r w:rsidR="00057950">
        <w:rPr>
          <w:lang w:val="en-US"/>
        </w:rPr>
        <w:t xml:space="preserve">and </w:t>
      </w:r>
      <w:r w:rsidR="00B42DE0">
        <w:rPr>
          <w:lang w:val="en-US"/>
        </w:rPr>
        <w:t xml:space="preserve">300m </w:t>
      </w:r>
      <w:r w:rsidR="00057950">
        <w:rPr>
          <w:lang w:val="en-US"/>
        </w:rPr>
        <w:t xml:space="preserve">ISD, respectively, when all UEs are assumed to be outdoor. </w:t>
      </w:r>
      <w:r>
        <w:rPr>
          <w:lang w:val="en-US"/>
        </w:rPr>
        <w:fldChar w:fldCharType="begin"/>
      </w:r>
      <w:r>
        <w:rPr>
          <w:lang w:val="en-US"/>
        </w:rPr>
        <w:instrText xml:space="preserve"> REF _Ref503605124 \h </w:instrText>
      </w:r>
      <w:r w:rsidR="00052C76">
        <w:rPr>
          <w:lang w:val="en-US"/>
        </w:rPr>
        <w:instrText xml:space="preserve"> \* MERGEFORMAT </w:instrText>
      </w:r>
      <w:r>
        <w:rPr>
          <w:lang w:val="en-US"/>
        </w:rPr>
      </w:r>
      <w:r>
        <w:rPr>
          <w:lang w:val="en-US"/>
        </w:rPr>
        <w:fldChar w:fldCharType="separate"/>
      </w:r>
      <w:r w:rsidR="007C5FAC">
        <w:t xml:space="preserve">Figure </w:t>
      </w:r>
      <w:r w:rsidR="007C5FAC">
        <w:rPr>
          <w:noProof/>
        </w:rPr>
        <w:t>9</w:t>
      </w:r>
      <w:r>
        <w:rPr>
          <w:lang w:val="en-US"/>
        </w:rPr>
        <w:fldChar w:fldCharType="end"/>
      </w:r>
      <w:r>
        <w:rPr>
          <w:lang w:val="en-US"/>
        </w:rPr>
        <w:t xml:space="preserve"> and </w:t>
      </w:r>
      <w:r>
        <w:rPr>
          <w:lang w:val="en-US"/>
        </w:rPr>
        <w:fldChar w:fldCharType="begin"/>
      </w:r>
      <w:r>
        <w:rPr>
          <w:lang w:val="en-US"/>
        </w:rPr>
        <w:instrText xml:space="preserve"> REF _Ref503605127 \h </w:instrText>
      </w:r>
      <w:r w:rsidR="00052C76">
        <w:rPr>
          <w:lang w:val="en-US"/>
        </w:rPr>
        <w:instrText xml:space="preserve"> \* MERGEFORMAT </w:instrText>
      </w:r>
      <w:r>
        <w:rPr>
          <w:lang w:val="en-US"/>
        </w:rPr>
      </w:r>
      <w:r>
        <w:rPr>
          <w:lang w:val="en-US"/>
        </w:rPr>
        <w:fldChar w:fldCharType="separate"/>
      </w:r>
      <w:r w:rsidR="007C5FAC">
        <w:t xml:space="preserve">Figure </w:t>
      </w:r>
      <w:r w:rsidR="007C5FAC">
        <w:rPr>
          <w:noProof/>
        </w:rPr>
        <w:t>10</w:t>
      </w:r>
      <w:r>
        <w:rPr>
          <w:lang w:val="en-US"/>
        </w:rPr>
        <w:fldChar w:fldCharType="end"/>
      </w:r>
      <w:r w:rsidR="00057950">
        <w:rPr>
          <w:lang w:val="en-US"/>
        </w:rPr>
        <w:t xml:space="preserve"> instead show the case when 20% of UEs are indoor. Notice that the trend is </w:t>
      </w:r>
      <w:proofErr w:type="gramStart"/>
      <w:r w:rsidR="00057950">
        <w:rPr>
          <w:lang w:val="en-US"/>
        </w:rPr>
        <w:t>similar to</w:t>
      </w:r>
      <w:proofErr w:type="gramEnd"/>
      <w:r w:rsidR="00057950">
        <w:rPr>
          <w:lang w:val="en-US"/>
        </w:rPr>
        <w:t xml:space="preserve"> </w:t>
      </w:r>
      <w:proofErr w:type="spellStart"/>
      <w:r w:rsidR="00057950">
        <w:rPr>
          <w:lang w:val="en-US"/>
        </w:rPr>
        <w:t>InH</w:t>
      </w:r>
      <w:proofErr w:type="spellEnd"/>
      <w:r w:rsidR="00057950">
        <w:rPr>
          <w:lang w:val="en-US"/>
        </w:rPr>
        <w:t xml:space="preserve"> setting and same considerations apply for the difference between Classic and Flat approach.</w:t>
      </w:r>
      <w:r w:rsidR="00052C76">
        <w:rPr>
          <w:lang w:val="en-US"/>
        </w:rPr>
        <w:t xml:space="preserve"> </w:t>
      </w:r>
      <w:r w:rsidR="00057950">
        <w:rPr>
          <w:lang w:val="en-US"/>
        </w:rPr>
        <w:t xml:space="preserve">It is also interesting to observe </w:t>
      </w:r>
      <w:r w:rsidR="00057950" w:rsidRPr="00057950">
        <w:rPr>
          <w:lang w:val="en-US"/>
        </w:rPr>
        <w:t xml:space="preserve">the performance degradation due to </w:t>
      </w:r>
      <w:r w:rsidR="00057950">
        <w:rPr>
          <w:lang w:val="en-US"/>
        </w:rPr>
        <w:t>additional penetration losses</w:t>
      </w:r>
      <w:r w:rsidR="00057950" w:rsidRPr="00057950">
        <w:rPr>
          <w:lang w:val="en-US"/>
        </w:rPr>
        <w:t xml:space="preserve"> when indoor UE are considered.</w:t>
      </w:r>
    </w:p>
    <w:p w:rsidR="005925C7" w:rsidRDefault="005925C7" w:rsidP="001F2E0B">
      <w:pPr>
        <w:jc w:val="both"/>
        <w:rPr>
          <w:lang w:val="en-US"/>
        </w:rPr>
      </w:pPr>
      <w:r>
        <w:rPr>
          <w:lang w:val="en-US"/>
        </w:rPr>
        <w:t>Our findings for the analyzed scenario are summarized in the following observation:</w:t>
      </w:r>
    </w:p>
    <w:p w:rsidR="00465707" w:rsidRPr="00657486" w:rsidRDefault="00465707" w:rsidP="00465707">
      <w:pPr>
        <w:rPr>
          <w:lang w:val="en-US"/>
        </w:rPr>
      </w:pPr>
      <w:r>
        <w:rPr>
          <w:lang w:val="en-US"/>
        </w:rPr>
        <w:t>For</w:t>
      </w:r>
      <w:r w:rsidRPr="00657486">
        <w:rPr>
          <w:lang w:val="en-US"/>
        </w:rPr>
        <w:t xml:space="preserve"> </w:t>
      </w:r>
      <w:proofErr w:type="spellStart"/>
      <w:r w:rsidR="006842DD">
        <w:rPr>
          <w:lang w:val="en-US"/>
        </w:rPr>
        <w:t>UMi</w:t>
      </w:r>
      <w:proofErr w:type="spellEnd"/>
      <w:r w:rsidRPr="00657486">
        <w:rPr>
          <w:lang w:val="en-US"/>
        </w:rPr>
        <w:t xml:space="preserve"> scenario</w:t>
      </w:r>
      <w:r>
        <w:rPr>
          <w:lang w:val="en-US"/>
        </w:rPr>
        <w:t>, the</w:t>
      </w:r>
      <w:r w:rsidRPr="00657486">
        <w:rPr>
          <w:lang w:val="en-US"/>
        </w:rPr>
        <w:t xml:space="preserve"> maximum </w:t>
      </w:r>
      <w:r>
        <w:rPr>
          <w:lang w:val="en-US"/>
        </w:rPr>
        <w:t>UL SINR and throughput gains due to spherical coverage are reported in the following tables. The gain is computed comparing 2x2 panels with the worst single panel performance</w:t>
      </w:r>
      <w:r w:rsidRPr="00657486">
        <w:rPr>
          <w:lang w:val="en-US"/>
        </w:rPr>
        <w:t>:</w:t>
      </w:r>
    </w:p>
    <w:tbl>
      <w:tblPr>
        <w:tblW w:w="9900" w:type="dxa"/>
        <w:jc w:val="center"/>
        <w:tblLook w:val="04A0" w:firstRow="1" w:lastRow="0" w:firstColumn="1" w:lastColumn="0" w:noHBand="0" w:noVBand="1"/>
      </w:tblPr>
      <w:tblGrid>
        <w:gridCol w:w="3330"/>
        <w:gridCol w:w="1440"/>
        <w:gridCol w:w="1440"/>
        <w:gridCol w:w="1710"/>
        <w:gridCol w:w="1710"/>
        <w:gridCol w:w="270"/>
      </w:tblGrid>
      <w:tr w:rsidR="003662FF" w:rsidRPr="004F7DAB" w:rsidTr="00C7619E">
        <w:trPr>
          <w:gridAfter w:val="1"/>
          <w:wAfter w:w="270" w:type="dxa"/>
          <w:trHeight w:val="330"/>
          <w:jc w:val="center"/>
        </w:trPr>
        <w:tc>
          <w:tcPr>
            <w:tcW w:w="3330" w:type="dxa"/>
            <w:tcBorders>
              <w:top w:val="nil"/>
              <w:left w:val="nil"/>
              <w:bottom w:val="nil"/>
              <w:right w:val="nil"/>
            </w:tcBorders>
            <w:shd w:val="clear" w:color="auto" w:fill="auto"/>
            <w:noWrap/>
            <w:vAlign w:val="bottom"/>
            <w:hideMark/>
          </w:tcPr>
          <w:p w:rsidR="003662FF" w:rsidRPr="004F7DAB" w:rsidRDefault="003662FF" w:rsidP="00E14C45">
            <w:pPr>
              <w:spacing w:after="0"/>
              <w:rPr>
                <w:szCs w:val="24"/>
                <w:lang w:val="en-US"/>
              </w:rPr>
            </w:pPr>
          </w:p>
        </w:tc>
        <w:tc>
          <w:tcPr>
            <w:tcW w:w="630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662FF" w:rsidRPr="004F7DAB" w:rsidRDefault="003662FF" w:rsidP="00E14C45">
            <w:pPr>
              <w:spacing w:after="0"/>
              <w:jc w:val="center"/>
              <w:rPr>
                <w:b/>
                <w:bCs/>
                <w:color w:val="000000"/>
                <w:szCs w:val="24"/>
                <w:lang w:val="en-US"/>
              </w:rPr>
            </w:pPr>
            <w:r w:rsidRPr="004F7DAB">
              <w:rPr>
                <w:b/>
                <w:bCs/>
                <w:color w:val="000000"/>
                <w:szCs w:val="24"/>
                <w:lang w:val="en-US"/>
              </w:rPr>
              <w:t xml:space="preserve">SINR </w:t>
            </w:r>
            <w:r w:rsidR="00A41C7E" w:rsidRPr="004F7DAB">
              <w:rPr>
                <w:b/>
                <w:bCs/>
                <w:color w:val="000000"/>
                <w:szCs w:val="24"/>
                <w:lang w:val="en-US"/>
              </w:rPr>
              <w:t xml:space="preserve">maximum </w:t>
            </w:r>
            <w:r w:rsidRPr="004F7DAB">
              <w:rPr>
                <w:b/>
                <w:bCs/>
                <w:color w:val="000000"/>
                <w:szCs w:val="24"/>
                <w:lang w:val="en-US"/>
              </w:rPr>
              <w:t>gain [dB] of spherical versus semi-spherical</w:t>
            </w:r>
          </w:p>
        </w:tc>
      </w:tr>
      <w:tr w:rsidR="003662FF" w:rsidRPr="004F7DAB" w:rsidTr="00C7619E">
        <w:trPr>
          <w:gridAfter w:val="1"/>
          <w:wAfter w:w="270" w:type="dxa"/>
          <w:trHeight w:val="330"/>
          <w:jc w:val="center"/>
        </w:trPr>
        <w:tc>
          <w:tcPr>
            <w:tcW w:w="3330" w:type="dxa"/>
            <w:vMerge w:val="restart"/>
            <w:tcBorders>
              <w:top w:val="single" w:sz="8" w:space="0" w:color="auto"/>
              <w:left w:val="single" w:sz="8" w:space="0" w:color="auto"/>
              <w:right w:val="nil"/>
            </w:tcBorders>
            <w:shd w:val="clear" w:color="auto" w:fill="auto"/>
            <w:noWrap/>
            <w:vAlign w:val="center"/>
            <w:hideMark/>
          </w:tcPr>
          <w:p w:rsidR="003662FF" w:rsidRPr="004F7DAB" w:rsidRDefault="003662FF" w:rsidP="00E14C45">
            <w:pPr>
              <w:spacing w:after="0"/>
              <w:jc w:val="center"/>
              <w:rPr>
                <w:b/>
                <w:bCs/>
                <w:color w:val="000000"/>
                <w:szCs w:val="24"/>
                <w:lang w:val="en-US"/>
              </w:rPr>
            </w:pPr>
            <w:r w:rsidRPr="004F7DAB">
              <w:rPr>
                <w:b/>
                <w:bCs/>
                <w:color w:val="000000"/>
                <w:szCs w:val="24"/>
                <w:lang w:val="en-US"/>
              </w:rPr>
              <w:t>Approach – % indoor UE</w:t>
            </w:r>
          </w:p>
        </w:tc>
        <w:tc>
          <w:tcPr>
            <w:tcW w:w="2880" w:type="dxa"/>
            <w:gridSpan w:val="2"/>
            <w:tcBorders>
              <w:top w:val="nil"/>
              <w:left w:val="single" w:sz="8" w:space="0" w:color="auto"/>
              <w:bottom w:val="single" w:sz="8" w:space="0" w:color="auto"/>
              <w:right w:val="single" w:sz="4" w:space="0" w:color="auto"/>
            </w:tcBorders>
            <w:shd w:val="clear" w:color="auto" w:fill="auto"/>
            <w:noWrap/>
            <w:vAlign w:val="bottom"/>
            <w:hideMark/>
          </w:tcPr>
          <w:p w:rsidR="003662FF" w:rsidRPr="004F7DAB" w:rsidRDefault="003662FF" w:rsidP="00E14C45">
            <w:pPr>
              <w:spacing w:after="0"/>
              <w:jc w:val="center"/>
              <w:rPr>
                <w:b/>
                <w:bCs/>
                <w:color w:val="000000"/>
                <w:szCs w:val="24"/>
                <w:lang w:val="en-US"/>
              </w:rPr>
            </w:pPr>
            <w:r w:rsidRPr="004F7DAB">
              <w:rPr>
                <w:b/>
                <w:bCs/>
                <w:color w:val="000000"/>
                <w:szCs w:val="24"/>
                <w:lang w:val="en-US"/>
              </w:rPr>
              <w:t>50%-tile</w:t>
            </w:r>
          </w:p>
        </w:tc>
        <w:tc>
          <w:tcPr>
            <w:tcW w:w="3420" w:type="dxa"/>
            <w:gridSpan w:val="2"/>
            <w:tcBorders>
              <w:top w:val="nil"/>
              <w:left w:val="nil"/>
              <w:bottom w:val="single" w:sz="8" w:space="0" w:color="auto"/>
              <w:right w:val="single" w:sz="8" w:space="0" w:color="auto"/>
            </w:tcBorders>
            <w:shd w:val="clear" w:color="auto" w:fill="auto"/>
            <w:noWrap/>
            <w:vAlign w:val="bottom"/>
            <w:hideMark/>
          </w:tcPr>
          <w:p w:rsidR="003662FF" w:rsidRPr="004F7DAB" w:rsidRDefault="003662FF" w:rsidP="00E14C45">
            <w:pPr>
              <w:spacing w:after="0"/>
              <w:jc w:val="center"/>
              <w:rPr>
                <w:b/>
                <w:bCs/>
                <w:color w:val="000000"/>
                <w:szCs w:val="24"/>
                <w:lang w:val="en-US"/>
              </w:rPr>
            </w:pPr>
            <w:r w:rsidRPr="004F7DAB">
              <w:rPr>
                <w:b/>
                <w:bCs/>
                <w:color w:val="000000"/>
                <w:szCs w:val="24"/>
                <w:lang w:val="en-US"/>
              </w:rPr>
              <w:t>5%-tile</w:t>
            </w:r>
          </w:p>
        </w:tc>
      </w:tr>
      <w:tr w:rsidR="003662FF" w:rsidRPr="004F7DAB" w:rsidTr="00C7619E">
        <w:trPr>
          <w:trHeight w:val="330"/>
          <w:jc w:val="center"/>
        </w:trPr>
        <w:tc>
          <w:tcPr>
            <w:tcW w:w="3330" w:type="dxa"/>
            <w:vMerge/>
            <w:tcBorders>
              <w:left w:val="single" w:sz="8" w:space="0" w:color="auto"/>
              <w:bottom w:val="single" w:sz="8" w:space="0" w:color="auto"/>
              <w:right w:val="nil"/>
            </w:tcBorders>
            <w:shd w:val="clear" w:color="auto" w:fill="auto"/>
            <w:noWrap/>
            <w:vAlign w:val="bottom"/>
          </w:tcPr>
          <w:p w:rsidR="003662FF" w:rsidRPr="004F7DAB" w:rsidRDefault="003662FF" w:rsidP="00E14C45">
            <w:pPr>
              <w:spacing w:after="0"/>
              <w:jc w:val="center"/>
              <w:rPr>
                <w:b/>
                <w:bCs/>
                <w:color w:val="000000"/>
                <w:szCs w:val="24"/>
                <w:lang w:val="en-US"/>
              </w:rPr>
            </w:pPr>
          </w:p>
        </w:tc>
        <w:tc>
          <w:tcPr>
            <w:tcW w:w="1440" w:type="dxa"/>
            <w:tcBorders>
              <w:top w:val="nil"/>
              <w:left w:val="single" w:sz="8" w:space="0" w:color="auto"/>
              <w:bottom w:val="single" w:sz="8" w:space="0" w:color="auto"/>
              <w:right w:val="single" w:sz="4" w:space="0" w:color="auto"/>
            </w:tcBorders>
            <w:shd w:val="clear" w:color="auto" w:fill="auto"/>
            <w:noWrap/>
            <w:vAlign w:val="bottom"/>
          </w:tcPr>
          <w:p w:rsidR="003662FF" w:rsidRPr="004F7DAB" w:rsidRDefault="003662FF" w:rsidP="00E14C45">
            <w:pPr>
              <w:spacing w:after="0"/>
              <w:jc w:val="center"/>
              <w:rPr>
                <w:b/>
                <w:color w:val="000000"/>
                <w:szCs w:val="24"/>
                <w:lang w:val="en-US"/>
              </w:rPr>
            </w:pPr>
            <w:r w:rsidRPr="004F7DAB">
              <w:rPr>
                <w:b/>
                <w:color w:val="000000"/>
                <w:szCs w:val="24"/>
                <w:lang w:val="en-US"/>
              </w:rPr>
              <w:t>ISD = 200m</w:t>
            </w:r>
          </w:p>
        </w:tc>
        <w:tc>
          <w:tcPr>
            <w:tcW w:w="1440" w:type="dxa"/>
            <w:tcBorders>
              <w:top w:val="nil"/>
              <w:left w:val="single" w:sz="8" w:space="0" w:color="auto"/>
              <w:bottom w:val="single" w:sz="8" w:space="0" w:color="auto"/>
              <w:right w:val="single" w:sz="4"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b/>
                <w:color w:val="000000"/>
                <w:szCs w:val="24"/>
                <w:lang w:val="en-US"/>
              </w:rPr>
              <w:t>ISD = 300m</w:t>
            </w:r>
          </w:p>
        </w:tc>
        <w:tc>
          <w:tcPr>
            <w:tcW w:w="1710" w:type="dxa"/>
            <w:tcBorders>
              <w:top w:val="nil"/>
              <w:left w:val="single" w:sz="8" w:space="0" w:color="auto"/>
              <w:bottom w:val="single" w:sz="8" w:space="0" w:color="auto"/>
              <w:right w:val="single" w:sz="8" w:space="0" w:color="auto"/>
            </w:tcBorders>
            <w:shd w:val="clear" w:color="auto" w:fill="auto"/>
            <w:noWrap/>
            <w:vAlign w:val="bottom"/>
          </w:tcPr>
          <w:p w:rsidR="003662FF" w:rsidRPr="004F7DAB" w:rsidRDefault="003662FF" w:rsidP="00E14C45">
            <w:pPr>
              <w:spacing w:after="0"/>
              <w:jc w:val="center"/>
              <w:rPr>
                <w:color w:val="000000"/>
                <w:szCs w:val="24"/>
                <w:lang w:val="en-US"/>
              </w:rPr>
            </w:pPr>
            <w:r w:rsidRPr="004F7DAB">
              <w:rPr>
                <w:b/>
                <w:color w:val="000000"/>
                <w:szCs w:val="24"/>
                <w:lang w:val="en-US"/>
              </w:rPr>
              <w:t>ISD = 200m</w:t>
            </w:r>
          </w:p>
        </w:tc>
        <w:tc>
          <w:tcPr>
            <w:tcW w:w="1710" w:type="dxa"/>
            <w:tcBorders>
              <w:top w:val="nil"/>
              <w:left w:val="single" w:sz="8" w:space="0" w:color="auto"/>
              <w:bottom w:val="single" w:sz="8" w:space="0" w:color="auto"/>
              <w:right w:val="single" w:sz="8"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b/>
                <w:color w:val="000000"/>
                <w:szCs w:val="24"/>
                <w:lang w:val="en-US"/>
              </w:rPr>
              <w:t>ISD = 300m</w:t>
            </w:r>
          </w:p>
        </w:tc>
        <w:tc>
          <w:tcPr>
            <w:tcW w:w="270" w:type="dxa"/>
            <w:vAlign w:val="bottom"/>
          </w:tcPr>
          <w:p w:rsidR="003662FF" w:rsidRPr="004F7DAB" w:rsidRDefault="003662FF" w:rsidP="00E14C45">
            <w:pPr>
              <w:spacing w:after="0"/>
            </w:pPr>
          </w:p>
        </w:tc>
      </w:tr>
      <w:tr w:rsidR="003662FF" w:rsidRPr="004F7DAB" w:rsidTr="00C7619E">
        <w:trPr>
          <w:gridAfter w:val="1"/>
          <w:wAfter w:w="270" w:type="dxa"/>
          <w:trHeight w:val="330"/>
          <w:jc w:val="center"/>
        </w:trPr>
        <w:tc>
          <w:tcPr>
            <w:tcW w:w="3330" w:type="dxa"/>
            <w:tcBorders>
              <w:top w:val="nil"/>
              <w:left w:val="single" w:sz="8" w:space="0" w:color="auto"/>
              <w:bottom w:val="single" w:sz="8" w:space="0" w:color="auto"/>
              <w:right w:val="nil"/>
            </w:tcBorders>
            <w:shd w:val="clear" w:color="auto" w:fill="auto"/>
            <w:noWrap/>
            <w:vAlign w:val="bottom"/>
            <w:hideMark/>
          </w:tcPr>
          <w:p w:rsidR="003662FF" w:rsidRPr="004F7DAB" w:rsidRDefault="003662FF" w:rsidP="00E14C45">
            <w:pPr>
              <w:spacing w:after="0"/>
              <w:jc w:val="center"/>
              <w:rPr>
                <w:b/>
                <w:bCs/>
                <w:color w:val="000000"/>
                <w:szCs w:val="24"/>
                <w:lang w:val="en-US"/>
              </w:rPr>
            </w:pPr>
            <w:r w:rsidRPr="004F7DAB">
              <w:rPr>
                <w:b/>
                <w:bCs/>
                <w:color w:val="000000"/>
                <w:szCs w:val="24"/>
                <w:lang w:val="en-US"/>
              </w:rPr>
              <w:t>Classic – 0%</w:t>
            </w:r>
          </w:p>
        </w:tc>
        <w:tc>
          <w:tcPr>
            <w:tcW w:w="1440" w:type="dxa"/>
            <w:tcBorders>
              <w:top w:val="nil"/>
              <w:left w:val="single" w:sz="8" w:space="0" w:color="auto"/>
              <w:bottom w:val="single" w:sz="8" w:space="0" w:color="auto"/>
              <w:right w:val="single" w:sz="4" w:space="0" w:color="auto"/>
            </w:tcBorders>
            <w:shd w:val="clear" w:color="auto" w:fill="auto"/>
            <w:noWrap/>
            <w:vAlign w:val="bottom"/>
            <w:hideMark/>
          </w:tcPr>
          <w:p w:rsidR="003662FF" w:rsidRPr="004F7DAB" w:rsidRDefault="003662FF" w:rsidP="00E14C45">
            <w:pPr>
              <w:spacing w:after="0"/>
              <w:jc w:val="center"/>
              <w:rPr>
                <w:color w:val="000000"/>
                <w:szCs w:val="24"/>
                <w:lang w:val="en-US"/>
              </w:rPr>
            </w:pPr>
            <w:r w:rsidRPr="004F7DAB">
              <w:rPr>
                <w:color w:val="000000"/>
                <w:szCs w:val="24"/>
                <w:lang w:val="en-US"/>
              </w:rPr>
              <w:t>5.8</w:t>
            </w:r>
          </w:p>
        </w:tc>
        <w:tc>
          <w:tcPr>
            <w:tcW w:w="1440" w:type="dxa"/>
            <w:tcBorders>
              <w:top w:val="nil"/>
              <w:left w:val="single" w:sz="8" w:space="0" w:color="auto"/>
              <w:bottom w:val="single" w:sz="8" w:space="0" w:color="auto"/>
              <w:right w:val="single" w:sz="4"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color w:val="000000"/>
                <w:szCs w:val="24"/>
                <w:lang w:val="en-US"/>
              </w:rPr>
              <w:t>6</w:t>
            </w:r>
          </w:p>
        </w:tc>
        <w:tc>
          <w:tcPr>
            <w:tcW w:w="1710" w:type="dxa"/>
            <w:tcBorders>
              <w:top w:val="nil"/>
              <w:left w:val="single" w:sz="8" w:space="0" w:color="auto"/>
              <w:bottom w:val="single" w:sz="8" w:space="0" w:color="auto"/>
              <w:right w:val="single" w:sz="8" w:space="0" w:color="auto"/>
            </w:tcBorders>
            <w:shd w:val="clear" w:color="auto" w:fill="auto"/>
            <w:noWrap/>
            <w:vAlign w:val="bottom"/>
            <w:hideMark/>
          </w:tcPr>
          <w:p w:rsidR="003662FF" w:rsidRPr="004F7DAB" w:rsidRDefault="003662FF" w:rsidP="00E14C45">
            <w:pPr>
              <w:spacing w:after="0"/>
              <w:jc w:val="center"/>
              <w:rPr>
                <w:color w:val="000000"/>
                <w:szCs w:val="24"/>
                <w:lang w:val="en-US"/>
              </w:rPr>
            </w:pPr>
            <w:r w:rsidRPr="004F7DAB">
              <w:rPr>
                <w:color w:val="000000"/>
                <w:szCs w:val="24"/>
                <w:lang w:val="en-US"/>
              </w:rPr>
              <w:t>5.9</w:t>
            </w:r>
          </w:p>
        </w:tc>
        <w:tc>
          <w:tcPr>
            <w:tcW w:w="1710" w:type="dxa"/>
            <w:tcBorders>
              <w:top w:val="nil"/>
              <w:left w:val="single" w:sz="8" w:space="0" w:color="auto"/>
              <w:bottom w:val="single" w:sz="8" w:space="0" w:color="auto"/>
              <w:right w:val="single" w:sz="8"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color w:val="000000"/>
                <w:szCs w:val="24"/>
                <w:lang w:val="en-US"/>
              </w:rPr>
              <w:t>5.2</w:t>
            </w:r>
          </w:p>
        </w:tc>
      </w:tr>
      <w:tr w:rsidR="003662FF" w:rsidRPr="004F7DAB" w:rsidTr="00C7619E">
        <w:trPr>
          <w:gridAfter w:val="1"/>
          <w:wAfter w:w="270" w:type="dxa"/>
          <w:trHeight w:val="330"/>
          <w:jc w:val="center"/>
        </w:trPr>
        <w:tc>
          <w:tcPr>
            <w:tcW w:w="3330" w:type="dxa"/>
            <w:tcBorders>
              <w:top w:val="nil"/>
              <w:left w:val="single" w:sz="8" w:space="0" w:color="auto"/>
              <w:bottom w:val="single" w:sz="4" w:space="0" w:color="auto"/>
              <w:right w:val="nil"/>
            </w:tcBorders>
            <w:shd w:val="clear" w:color="auto" w:fill="auto"/>
            <w:noWrap/>
            <w:vAlign w:val="bottom"/>
            <w:hideMark/>
          </w:tcPr>
          <w:p w:rsidR="003662FF" w:rsidRPr="004F7DAB" w:rsidRDefault="003662FF" w:rsidP="00E14C45">
            <w:pPr>
              <w:spacing w:after="0"/>
              <w:jc w:val="center"/>
              <w:rPr>
                <w:b/>
                <w:bCs/>
                <w:color w:val="000000"/>
                <w:szCs w:val="24"/>
                <w:lang w:val="en-US"/>
              </w:rPr>
            </w:pPr>
            <w:r w:rsidRPr="004F7DAB">
              <w:rPr>
                <w:b/>
                <w:bCs/>
                <w:color w:val="000000"/>
                <w:szCs w:val="24"/>
                <w:lang w:val="en-US"/>
              </w:rPr>
              <w:t>Flat – 0%</w:t>
            </w:r>
          </w:p>
        </w:tc>
        <w:tc>
          <w:tcPr>
            <w:tcW w:w="1440" w:type="dxa"/>
            <w:tcBorders>
              <w:top w:val="nil"/>
              <w:left w:val="single" w:sz="8" w:space="0" w:color="auto"/>
              <w:bottom w:val="single" w:sz="4" w:space="0" w:color="auto"/>
              <w:right w:val="single" w:sz="4" w:space="0" w:color="auto"/>
            </w:tcBorders>
            <w:shd w:val="clear" w:color="auto" w:fill="auto"/>
            <w:noWrap/>
            <w:vAlign w:val="bottom"/>
            <w:hideMark/>
          </w:tcPr>
          <w:p w:rsidR="003662FF" w:rsidRPr="004F7DAB" w:rsidRDefault="003662FF" w:rsidP="00E14C45">
            <w:pPr>
              <w:spacing w:after="0"/>
              <w:jc w:val="center"/>
              <w:rPr>
                <w:color w:val="000000"/>
                <w:szCs w:val="24"/>
                <w:lang w:val="en-US"/>
              </w:rPr>
            </w:pPr>
            <w:r w:rsidRPr="004F7DAB">
              <w:rPr>
                <w:color w:val="000000"/>
                <w:szCs w:val="24"/>
                <w:lang w:val="en-US"/>
              </w:rPr>
              <w:t>8.8</w:t>
            </w:r>
          </w:p>
        </w:tc>
        <w:tc>
          <w:tcPr>
            <w:tcW w:w="1440" w:type="dxa"/>
            <w:tcBorders>
              <w:top w:val="nil"/>
              <w:left w:val="single" w:sz="8" w:space="0" w:color="auto"/>
              <w:bottom w:val="single" w:sz="4" w:space="0" w:color="auto"/>
              <w:right w:val="single" w:sz="4"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color w:val="000000"/>
                <w:szCs w:val="24"/>
                <w:lang w:val="en-US"/>
              </w:rPr>
              <w:t>9.27</w:t>
            </w:r>
          </w:p>
        </w:tc>
        <w:tc>
          <w:tcPr>
            <w:tcW w:w="1710" w:type="dxa"/>
            <w:tcBorders>
              <w:top w:val="nil"/>
              <w:left w:val="single" w:sz="8" w:space="0" w:color="auto"/>
              <w:bottom w:val="single" w:sz="4" w:space="0" w:color="auto"/>
              <w:right w:val="single" w:sz="8" w:space="0" w:color="auto"/>
            </w:tcBorders>
            <w:shd w:val="clear" w:color="auto" w:fill="auto"/>
            <w:noWrap/>
            <w:vAlign w:val="bottom"/>
            <w:hideMark/>
          </w:tcPr>
          <w:p w:rsidR="003662FF" w:rsidRPr="004F7DAB" w:rsidRDefault="003662FF" w:rsidP="00E14C45">
            <w:pPr>
              <w:spacing w:after="0"/>
              <w:jc w:val="center"/>
              <w:rPr>
                <w:color w:val="000000"/>
                <w:szCs w:val="24"/>
                <w:lang w:val="en-US"/>
              </w:rPr>
            </w:pPr>
            <w:r w:rsidRPr="004F7DAB">
              <w:rPr>
                <w:color w:val="000000"/>
                <w:szCs w:val="24"/>
                <w:lang w:val="en-US"/>
              </w:rPr>
              <w:t>12.5</w:t>
            </w:r>
          </w:p>
        </w:tc>
        <w:tc>
          <w:tcPr>
            <w:tcW w:w="1710" w:type="dxa"/>
            <w:tcBorders>
              <w:top w:val="nil"/>
              <w:left w:val="single" w:sz="8" w:space="0" w:color="auto"/>
              <w:bottom w:val="single" w:sz="4" w:space="0" w:color="auto"/>
              <w:right w:val="single" w:sz="8"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color w:val="000000"/>
                <w:szCs w:val="24"/>
                <w:lang w:val="en-US"/>
              </w:rPr>
              <w:t>10.8</w:t>
            </w:r>
          </w:p>
        </w:tc>
      </w:tr>
      <w:tr w:rsidR="003662FF" w:rsidRPr="004F7DAB" w:rsidTr="00C7619E">
        <w:trPr>
          <w:gridAfter w:val="1"/>
          <w:wAfter w:w="27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3662FF" w:rsidRPr="004F7DAB" w:rsidRDefault="003662FF" w:rsidP="00E14C45">
            <w:pPr>
              <w:spacing w:after="0"/>
              <w:jc w:val="center"/>
              <w:rPr>
                <w:b/>
                <w:bCs/>
                <w:color w:val="000000"/>
                <w:szCs w:val="24"/>
                <w:lang w:val="en-US"/>
              </w:rPr>
            </w:pPr>
            <w:r w:rsidRPr="004F7DAB">
              <w:rPr>
                <w:b/>
                <w:bCs/>
                <w:color w:val="000000"/>
                <w:szCs w:val="24"/>
                <w:lang w:val="en-US"/>
              </w:rPr>
              <w:t>Classic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662FF" w:rsidRPr="004F7DAB" w:rsidRDefault="003662FF" w:rsidP="00E14C45">
            <w:pPr>
              <w:spacing w:after="0"/>
              <w:jc w:val="center"/>
              <w:rPr>
                <w:color w:val="000000"/>
                <w:szCs w:val="24"/>
                <w:lang w:val="en-US"/>
              </w:rPr>
            </w:pPr>
            <w:r w:rsidRPr="004F7DAB">
              <w:rPr>
                <w:color w:val="000000"/>
                <w:szCs w:val="24"/>
                <w:lang w:val="en-US"/>
              </w:rPr>
              <w:t>5.8</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color w:val="000000"/>
                <w:szCs w:val="24"/>
                <w:lang w:val="en-US"/>
              </w:rPr>
              <w:t>6</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662FF" w:rsidRPr="004F7DAB" w:rsidRDefault="003662FF" w:rsidP="00E14C45">
            <w:pPr>
              <w:spacing w:after="0"/>
              <w:jc w:val="center"/>
              <w:rPr>
                <w:color w:val="000000"/>
                <w:szCs w:val="24"/>
                <w:lang w:val="en-US"/>
              </w:rPr>
            </w:pPr>
            <w:r w:rsidRPr="004F7DAB">
              <w:rPr>
                <w:color w:val="000000"/>
                <w:szCs w:val="24"/>
                <w:lang w:val="en-US"/>
              </w:rPr>
              <w:t>4.8</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color w:val="000000"/>
                <w:szCs w:val="24"/>
                <w:lang w:val="en-US"/>
              </w:rPr>
              <w:t>5</w:t>
            </w:r>
          </w:p>
        </w:tc>
      </w:tr>
      <w:tr w:rsidR="003662FF" w:rsidRPr="004F7DAB" w:rsidTr="00C7619E">
        <w:trPr>
          <w:gridAfter w:val="1"/>
          <w:wAfter w:w="27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3662FF" w:rsidRPr="004F7DAB" w:rsidRDefault="003662FF" w:rsidP="00E14C45">
            <w:pPr>
              <w:spacing w:after="0"/>
              <w:jc w:val="center"/>
              <w:rPr>
                <w:b/>
                <w:bCs/>
                <w:color w:val="000000"/>
                <w:szCs w:val="24"/>
                <w:lang w:val="en-US"/>
              </w:rPr>
            </w:pPr>
            <w:r w:rsidRPr="004F7DAB">
              <w:rPr>
                <w:b/>
                <w:bCs/>
                <w:color w:val="000000"/>
                <w:szCs w:val="24"/>
                <w:lang w:val="en-US"/>
              </w:rPr>
              <w:t>Flat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662FF" w:rsidRPr="004F7DAB" w:rsidRDefault="003662FF" w:rsidP="00E14C45">
            <w:pPr>
              <w:spacing w:after="0"/>
              <w:jc w:val="center"/>
              <w:rPr>
                <w:color w:val="000000"/>
                <w:szCs w:val="24"/>
                <w:lang w:val="en-US"/>
              </w:rPr>
            </w:pPr>
            <w:r w:rsidRPr="004F7DAB">
              <w:rPr>
                <w:color w:val="000000"/>
                <w:szCs w:val="24"/>
                <w:lang w:val="en-US"/>
              </w:rPr>
              <w:t>9.6</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color w:val="000000"/>
                <w:szCs w:val="24"/>
                <w:lang w:val="en-US"/>
              </w:rPr>
              <w:t>9.6</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3662FF" w:rsidRPr="004F7DAB" w:rsidRDefault="003662FF" w:rsidP="00E14C45">
            <w:pPr>
              <w:spacing w:after="0"/>
              <w:jc w:val="center"/>
              <w:rPr>
                <w:color w:val="000000"/>
                <w:szCs w:val="24"/>
                <w:lang w:val="en-US"/>
              </w:rPr>
            </w:pPr>
            <w:r w:rsidRPr="004F7DAB">
              <w:rPr>
                <w:color w:val="000000"/>
                <w:szCs w:val="24"/>
                <w:lang w:val="en-US"/>
              </w:rPr>
              <w:t>8.6</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3662FF" w:rsidRPr="004F7DAB" w:rsidRDefault="003662FF" w:rsidP="00E14C45">
            <w:pPr>
              <w:spacing w:after="0"/>
              <w:jc w:val="center"/>
              <w:rPr>
                <w:color w:val="000000"/>
                <w:szCs w:val="24"/>
                <w:lang w:val="en-US"/>
              </w:rPr>
            </w:pPr>
            <w:r w:rsidRPr="004F7DAB">
              <w:rPr>
                <w:color w:val="000000"/>
                <w:szCs w:val="24"/>
                <w:lang w:val="en-US"/>
              </w:rPr>
              <w:t>8.</w:t>
            </w:r>
            <w:r w:rsidR="001167D9" w:rsidRPr="004F7DAB">
              <w:rPr>
                <w:color w:val="000000"/>
                <w:szCs w:val="24"/>
                <w:lang w:val="en-US"/>
              </w:rPr>
              <w:t>7</w:t>
            </w:r>
          </w:p>
        </w:tc>
      </w:tr>
    </w:tbl>
    <w:p w:rsidR="003662FF" w:rsidRDefault="003662FF" w:rsidP="003662FF">
      <w:pPr>
        <w:rPr>
          <w:b/>
          <w:i/>
          <w:lang w:val="en-US"/>
        </w:rPr>
      </w:pPr>
    </w:p>
    <w:tbl>
      <w:tblPr>
        <w:tblW w:w="9900" w:type="dxa"/>
        <w:jc w:val="center"/>
        <w:tblLook w:val="04A0" w:firstRow="1" w:lastRow="0" w:firstColumn="1" w:lastColumn="0" w:noHBand="0" w:noVBand="1"/>
      </w:tblPr>
      <w:tblGrid>
        <w:gridCol w:w="3330"/>
        <w:gridCol w:w="1440"/>
        <w:gridCol w:w="1440"/>
        <w:gridCol w:w="1710"/>
        <w:gridCol w:w="1710"/>
        <w:gridCol w:w="270"/>
      </w:tblGrid>
      <w:tr w:rsidR="00BD00A4" w:rsidRPr="004F7DAB" w:rsidTr="000C0843">
        <w:trPr>
          <w:gridAfter w:val="1"/>
          <w:wAfter w:w="270" w:type="dxa"/>
          <w:trHeight w:val="330"/>
          <w:jc w:val="center"/>
        </w:trPr>
        <w:tc>
          <w:tcPr>
            <w:tcW w:w="3330" w:type="dxa"/>
            <w:tcBorders>
              <w:top w:val="nil"/>
              <w:left w:val="nil"/>
              <w:bottom w:val="nil"/>
              <w:right w:val="nil"/>
            </w:tcBorders>
            <w:shd w:val="clear" w:color="auto" w:fill="auto"/>
            <w:noWrap/>
            <w:vAlign w:val="bottom"/>
            <w:hideMark/>
          </w:tcPr>
          <w:p w:rsidR="00BD00A4" w:rsidRPr="004F7DAB" w:rsidRDefault="00BD00A4" w:rsidP="006E4677">
            <w:pPr>
              <w:spacing w:after="0"/>
              <w:rPr>
                <w:szCs w:val="24"/>
                <w:lang w:val="en-US"/>
              </w:rPr>
            </w:pPr>
          </w:p>
        </w:tc>
        <w:tc>
          <w:tcPr>
            <w:tcW w:w="630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D00A4" w:rsidRPr="004F7DAB" w:rsidRDefault="00BD00A4" w:rsidP="006E4677">
            <w:pPr>
              <w:spacing w:after="0"/>
              <w:jc w:val="center"/>
              <w:rPr>
                <w:b/>
                <w:bCs/>
                <w:color w:val="000000"/>
                <w:szCs w:val="24"/>
                <w:lang w:val="en-US"/>
              </w:rPr>
            </w:pPr>
            <w:r w:rsidRPr="004F7DAB">
              <w:rPr>
                <w:b/>
                <w:bCs/>
                <w:color w:val="000000"/>
                <w:szCs w:val="24"/>
                <w:lang w:val="en-US"/>
              </w:rPr>
              <w:t>Throughput maximum gain of spherical versus semi-spherical</w:t>
            </w:r>
          </w:p>
        </w:tc>
      </w:tr>
      <w:tr w:rsidR="00BD00A4" w:rsidRPr="004F7DAB" w:rsidTr="000C0843">
        <w:trPr>
          <w:gridAfter w:val="1"/>
          <w:wAfter w:w="270" w:type="dxa"/>
          <w:trHeight w:val="330"/>
          <w:jc w:val="center"/>
        </w:trPr>
        <w:tc>
          <w:tcPr>
            <w:tcW w:w="3330" w:type="dxa"/>
            <w:vMerge w:val="restart"/>
            <w:tcBorders>
              <w:top w:val="single" w:sz="8" w:space="0" w:color="auto"/>
              <w:left w:val="single" w:sz="8" w:space="0" w:color="auto"/>
              <w:right w:val="nil"/>
            </w:tcBorders>
            <w:shd w:val="clear" w:color="auto" w:fill="auto"/>
            <w:noWrap/>
            <w:vAlign w:val="center"/>
            <w:hideMark/>
          </w:tcPr>
          <w:p w:rsidR="00BD00A4" w:rsidRPr="004F7DAB" w:rsidRDefault="00BD00A4" w:rsidP="006E4677">
            <w:pPr>
              <w:spacing w:after="0"/>
              <w:jc w:val="center"/>
              <w:rPr>
                <w:b/>
                <w:bCs/>
                <w:color w:val="000000"/>
                <w:szCs w:val="24"/>
                <w:lang w:val="en-US"/>
              </w:rPr>
            </w:pPr>
            <w:r w:rsidRPr="004F7DAB">
              <w:rPr>
                <w:b/>
                <w:bCs/>
                <w:color w:val="000000"/>
                <w:szCs w:val="24"/>
                <w:lang w:val="en-US"/>
              </w:rPr>
              <w:t>Approach – % indoor UE</w:t>
            </w:r>
          </w:p>
        </w:tc>
        <w:tc>
          <w:tcPr>
            <w:tcW w:w="2880" w:type="dxa"/>
            <w:gridSpan w:val="2"/>
            <w:tcBorders>
              <w:top w:val="nil"/>
              <w:left w:val="single" w:sz="8" w:space="0" w:color="auto"/>
              <w:bottom w:val="single" w:sz="8" w:space="0" w:color="auto"/>
              <w:right w:val="single" w:sz="4" w:space="0" w:color="auto"/>
            </w:tcBorders>
            <w:shd w:val="clear" w:color="auto" w:fill="auto"/>
            <w:noWrap/>
            <w:vAlign w:val="bottom"/>
            <w:hideMark/>
          </w:tcPr>
          <w:p w:rsidR="00BD00A4" w:rsidRPr="004F7DAB" w:rsidRDefault="00BD00A4" w:rsidP="006E4677">
            <w:pPr>
              <w:spacing w:after="0"/>
              <w:jc w:val="center"/>
              <w:rPr>
                <w:b/>
                <w:bCs/>
                <w:color w:val="000000"/>
                <w:szCs w:val="24"/>
                <w:lang w:val="en-US"/>
              </w:rPr>
            </w:pPr>
            <w:r w:rsidRPr="004F7DAB">
              <w:rPr>
                <w:b/>
                <w:bCs/>
                <w:color w:val="000000"/>
                <w:szCs w:val="24"/>
                <w:lang w:val="en-US"/>
              </w:rPr>
              <w:t>50%-tile</w:t>
            </w:r>
          </w:p>
        </w:tc>
        <w:tc>
          <w:tcPr>
            <w:tcW w:w="3420" w:type="dxa"/>
            <w:gridSpan w:val="2"/>
            <w:tcBorders>
              <w:top w:val="nil"/>
              <w:left w:val="nil"/>
              <w:bottom w:val="single" w:sz="8" w:space="0" w:color="auto"/>
              <w:right w:val="single" w:sz="8" w:space="0" w:color="auto"/>
            </w:tcBorders>
            <w:shd w:val="clear" w:color="auto" w:fill="auto"/>
            <w:noWrap/>
            <w:vAlign w:val="bottom"/>
            <w:hideMark/>
          </w:tcPr>
          <w:p w:rsidR="00BD00A4" w:rsidRPr="004F7DAB" w:rsidRDefault="00BD00A4" w:rsidP="006E4677">
            <w:pPr>
              <w:spacing w:after="0"/>
              <w:jc w:val="center"/>
              <w:rPr>
                <w:b/>
                <w:bCs/>
                <w:color w:val="000000"/>
                <w:szCs w:val="24"/>
                <w:lang w:val="en-US"/>
              </w:rPr>
            </w:pPr>
            <w:r w:rsidRPr="004F7DAB">
              <w:rPr>
                <w:b/>
                <w:bCs/>
                <w:color w:val="000000"/>
                <w:szCs w:val="24"/>
                <w:lang w:val="en-US"/>
              </w:rPr>
              <w:t>5%-tile</w:t>
            </w:r>
          </w:p>
        </w:tc>
      </w:tr>
      <w:tr w:rsidR="00BD00A4" w:rsidRPr="004F7DAB" w:rsidTr="000C0843">
        <w:trPr>
          <w:trHeight w:val="330"/>
          <w:jc w:val="center"/>
        </w:trPr>
        <w:tc>
          <w:tcPr>
            <w:tcW w:w="3330" w:type="dxa"/>
            <w:vMerge/>
            <w:tcBorders>
              <w:left w:val="single" w:sz="8" w:space="0" w:color="auto"/>
              <w:bottom w:val="single" w:sz="8" w:space="0" w:color="auto"/>
              <w:right w:val="nil"/>
            </w:tcBorders>
            <w:shd w:val="clear" w:color="auto" w:fill="auto"/>
            <w:noWrap/>
            <w:vAlign w:val="bottom"/>
          </w:tcPr>
          <w:p w:rsidR="00BD00A4" w:rsidRPr="004F7DAB" w:rsidRDefault="00BD00A4" w:rsidP="006E4677">
            <w:pPr>
              <w:spacing w:after="0"/>
              <w:jc w:val="center"/>
              <w:rPr>
                <w:b/>
                <w:bCs/>
                <w:color w:val="000000"/>
                <w:szCs w:val="24"/>
                <w:lang w:val="en-US"/>
              </w:rPr>
            </w:pPr>
          </w:p>
        </w:tc>
        <w:tc>
          <w:tcPr>
            <w:tcW w:w="1440" w:type="dxa"/>
            <w:tcBorders>
              <w:top w:val="nil"/>
              <w:left w:val="single" w:sz="8" w:space="0" w:color="auto"/>
              <w:bottom w:val="single" w:sz="8" w:space="0" w:color="auto"/>
              <w:right w:val="single" w:sz="4" w:space="0" w:color="auto"/>
            </w:tcBorders>
            <w:shd w:val="clear" w:color="auto" w:fill="auto"/>
            <w:noWrap/>
            <w:vAlign w:val="bottom"/>
          </w:tcPr>
          <w:p w:rsidR="00BD00A4" w:rsidRPr="004F7DAB" w:rsidRDefault="00BD00A4" w:rsidP="006E4677">
            <w:pPr>
              <w:spacing w:after="0"/>
              <w:jc w:val="center"/>
              <w:rPr>
                <w:b/>
                <w:color w:val="000000"/>
                <w:szCs w:val="24"/>
                <w:lang w:val="en-US"/>
              </w:rPr>
            </w:pPr>
            <w:r w:rsidRPr="004F7DAB">
              <w:rPr>
                <w:b/>
                <w:color w:val="000000"/>
                <w:szCs w:val="24"/>
                <w:lang w:val="en-US"/>
              </w:rPr>
              <w:t>ISD = 200m</w:t>
            </w:r>
          </w:p>
        </w:tc>
        <w:tc>
          <w:tcPr>
            <w:tcW w:w="1440" w:type="dxa"/>
            <w:tcBorders>
              <w:top w:val="nil"/>
              <w:left w:val="single" w:sz="8" w:space="0" w:color="auto"/>
              <w:bottom w:val="single" w:sz="8" w:space="0" w:color="auto"/>
              <w:right w:val="single" w:sz="4" w:space="0" w:color="auto"/>
            </w:tcBorders>
            <w:shd w:val="clear" w:color="auto" w:fill="auto"/>
            <w:vAlign w:val="bottom"/>
          </w:tcPr>
          <w:p w:rsidR="00BD00A4" w:rsidRPr="004F7DAB" w:rsidRDefault="00BD00A4" w:rsidP="006E4677">
            <w:pPr>
              <w:spacing w:after="0"/>
              <w:jc w:val="center"/>
              <w:rPr>
                <w:color w:val="000000"/>
                <w:szCs w:val="24"/>
                <w:lang w:val="en-US"/>
              </w:rPr>
            </w:pPr>
            <w:r w:rsidRPr="004F7DAB">
              <w:rPr>
                <w:b/>
                <w:color w:val="000000"/>
                <w:szCs w:val="24"/>
                <w:lang w:val="en-US"/>
              </w:rPr>
              <w:t>ISD = 300m</w:t>
            </w:r>
          </w:p>
        </w:tc>
        <w:tc>
          <w:tcPr>
            <w:tcW w:w="1710" w:type="dxa"/>
            <w:tcBorders>
              <w:top w:val="nil"/>
              <w:left w:val="single" w:sz="8" w:space="0" w:color="auto"/>
              <w:bottom w:val="single" w:sz="8" w:space="0" w:color="auto"/>
              <w:right w:val="single" w:sz="8" w:space="0" w:color="auto"/>
            </w:tcBorders>
            <w:shd w:val="clear" w:color="auto" w:fill="auto"/>
            <w:noWrap/>
            <w:vAlign w:val="bottom"/>
          </w:tcPr>
          <w:p w:rsidR="00BD00A4" w:rsidRPr="004F7DAB" w:rsidRDefault="00BD00A4" w:rsidP="006E4677">
            <w:pPr>
              <w:spacing w:after="0"/>
              <w:jc w:val="center"/>
              <w:rPr>
                <w:color w:val="000000"/>
                <w:szCs w:val="24"/>
                <w:lang w:val="en-US"/>
              </w:rPr>
            </w:pPr>
            <w:r w:rsidRPr="004F7DAB">
              <w:rPr>
                <w:b/>
                <w:color w:val="000000"/>
                <w:szCs w:val="24"/>
                <w:lang w:val="en-US"/>
              </w:rPr>
              <w:t>ISD = 200m</w:t>
            </w:r>
          </w:p>
        </w:tc>
        <w:tc>
          <w:tcPr>
            <w:tcW w:w="1710" w:type="dxa"/>
            <w:tcBorders>
              <w:top w:val="nil"/>
              <w:left w:val="single" w:sz="8" w:space="0" w:color="auto"/>
              <w:bottom w:val="single" w:sz="8" w:space="0" w:color="auto"/>
              <w:right w:val="single" w:sz="8" w:space="0" w:color="auto"/>
            </w:tcBorders>
            <w:shd w:val="clear" w:color="auto" w:fill="auto"/>
            <w:vAlign w:val="bottom"/>
          </w:tcPr>
          <w:p w:rsidR="00BD00A4" w:rsidRPr="004F7DAB" w:rsidRDefault="00BD00A4" w:rsidP="006E4677">
            <w:pPr>
              <w:spacing w:after="0"/>
              <w:jc w:val="center"/>
              <w:rPr>
                <w:color w:val="000000"/>
                <w:szCs w:val="24"/>
                <w:lang w:val="en-US"/>
              </w:rPr>
            </w:pPr>
            <w:r w:rsidRPr="004F7DAB">
              <w:rPr>
                <w:b/>
                <w:color w:val="000000"/>
                <w:szCs w:val="24"/>
                <w:lang w:val="en-US"/>
              </w:rPr>
              <w:t>ISD = 300m</w:t>
            </w:r>
          </w:p>
        </w:tc>
        <w:tc>
          <w:tcPr>
            <w:tcW w:w="270" w:type="dxa"/>
            <w:vAlign w:val="bottom"/>
          </w:tcPr>
          <w:p w:rsidR="00BD00A4" w:rsidRPr="004F7DAB" w:rsidRDefault="00BD00A4" w:rsidP="006E4677">
            <w:pPr>
              <w:spacing w:after="0"/>
            </w:pPr>
          </w:p>
        </w:tc>
      </w:tr>
      <w:tr w:rsidR="00BD00A4" w:rsidRPr="004F7DAB" w:rsidTr="000C0843">
        <w:trPr>
          <w:gridAfter w:val="1"/>
          <w:wAfter w:w="270" w:type="dxa"/>
          <w:trHeight w:val="330"/>
          <w:jc w:val="center"/>
        </w:trPr>
        <w:tc>
          <w:tcPr>
            <w:tcW w:w="3330" w:type="dxa"/>
            <w:tcBorders>
              <w:top w:val="nil"/>
              <w:left w:val="single" w:sz="8" w:space="0" w:color="auto"/>
              <w:bottom w:val="single" w:sz="8" w:space="0" w:color="auto"/>
              <w:right w:val="nil"/>
            </w:tcBorders>
            <w:shd w:val="clear" w:color="auto" w:fill="auto"/>
            <w:noWrap/>
            <w:vAlign w:val="bottom"/>
            <w:hideMark/>
          </w:tcPr>
          <w:p w:rsidR="00BD00A4" w:rsidRPr="004F7DAB" w:rsidRDefault="00BD00A4" w:rsidP="00BD00A4">
            <w:pPr>
              <w:spacing w:after="0"/>
              <w:jc w:val="center"/>
              <w:rPr>
                <w:b/>
                <w:bCs/>
                <w:color w:val="000000"/>
                <w:szCs w:val="24"/>
                <w:lang w:val="en-US"/>
              </w:rPr>
            </w:pPr>
            <w:r w:rsidRPr="004F7DAB">
              <w:rPr>
                <w:b/>
                <w:bCs/>
                <w:color w:val="000000"/>
                <w:szCs w:val="24"/>
                <w:lang w:val="en-US"/>
              </w:rPr>
              <w:t>Classic – 0%</w:t>
            </w:r>
          </w:p>
        </w:tc>
        <w:tc>
          <w:tcPr>
            <w:tcW w:w="1440" w:type="dxa"/>
            <w:tcBorders>
              <w:top w:val="nil"/>
              <w:left w:val="single" w:sz="8" w:space="0" w:color="auto"/>
              <w:bottom w:val="single" w:sz="8" w:space="0" w:color="auto"/>
              <w:right w:val="single" w:sz="4" w:space="0" w:color="auto"/>
            </w:tcBorders>
            <w:shd w:val="clear" w:color="auto" w:fill="auto"/>
            <w:noWrap/>
            <w:vAlign w:val="bottom"/>
          </w:tcPr>
          <w:p w:rsidR="00BD00A4" w:rsidRPr="004F7DAB" w:rsidRDefault="00BD00A4" w:rsidP="00BD00A4">
            <w:pPr>
              <w:spacing w:after="0"/>
              <w:jc w:val="center"/>
              <w:rPr>
                <w:color w:val="000000"/>
                <w:szCs w:val="24"/>
                <w:lang w:val="en-US"/>
              </w:rPr>
            </w:pPr>
            <w:r w:rsidRPr="004F7DAB">
              <w:rPr>
                <w:color w:val="000000"/>
                <w:szCs w:val="24"/>
                <w:lang w:val="en-US"/>
              </w:rPr>
              <w:t>30%</w:t>
            </w:r>
          </w:p>
        </w:tc>
        <w:tc>
          <w:tcPr>
            <w:tcW w:w="1440" w:type="dxa"/>
            <w:tcBorders>
              <w:top w:val="nil"/>
              <w:left w:val="single" w:sz="8" w:space="0" w:color="auto"/>
              <w:bottom w:val="single" w:sz="8" w:space="0" w:color="auto"/>
              <w:right w:val="single" w:sz="4" w:space="0" w:color="auto"/>
            </w:tcBorders>
            <w:shd w:val="clear" w:color="auto" w:fill="auto"/>
            <w:vAlign w:val="bottom"/>
          </w:tcPr>
          <w:p w:rsidR="00BD00A4" w:rsidRPr="004F7DAB" w:rsidRDefault="00BD00A4" w:rsidP="00BD00A4">
            <w:pPr>
              <w:spacing w:after="0"/>
              <w:jc w:val="center"/>
              <w:rPr>
                <w:color w:val="000000"/>
                <w:szCs w:val="24"/>
                <w:lang w:val="en-US"/>
              </w:rPr>
            </w:pPr>
            <w:r w:rsidRPr="004F7DAB">
              <w:rPr>
                <w:color w:val="000000"/>
                <w:szCs w:val="24"/>
                <w:lang w:val="en-US"/>
              </w:rPr>
              <w:t>44%</w:t>
            </w:r>
          </w:p>
        </w:tc>
        <w:tc>
          <w:tcPr>
            <w:tcW w:w="1710" w:type="dxa"/>
            <w:tcBorders>
              <w:top w:val="nil"/>
              <w:left w:val="single" w:sz="8" w:space="0" w:color="auto"/>
              <w:bottom w:val="single" w:sz="8" w:space="0" w:color="auto"/>
              <w:right w:val="single" w:sz="8" w:space="0" w:color="auto"/>
            </w:tcBorders>
            <w:shd w:val="clear" w:color="auto" w:fill="auto"/>
            <w:noWrap/>
            <w:vAlign w:val="bottom"/>
          </w:tcPr>
          <w:p w:rsidR="00BD00A4" w:rsidRPr="004F7DAB" w:rsidRDefault="00BD00A4" w:rsidP="00BD00A4">
            <w:pPr>
              <w:spacing w:after="0"/>
              <w:jc w:val="center"/>
              <w:rPr>
                <w:color w:val="000000"/>
                <w:szCs w:val="24"/>
                <w:lang w:val="en-US"/>
              </w:rPr>
            </w:pPr>
            <w:r w:rsidRPr="004F7DAB">
              <w:rPr>
                <w:color w:val="000000"/>
                <w:szCs w:val="24"/>
                <w:lang w:val="en-US"/>
              </w:rPr>
              <w:t>65%</w:t>
            </w:r>
          </w:p>
        </w:tc>
        <w:tc>
          <w:tcPr>
            <w:tcW w:w="1710" w:type="dxa"/>
            <w:tcBorders>
              <w:top w:val="nil"/>
              <w:left w:val="single" w:sz="8" w:space="0" w:color="auto"/>
              <w:bottom w:val="single" w:sz="8" w:space="0" w:color="auto"/>
              <w:right w:val="single" w:sz="8" w:space="0" w:color="auto"/>
            </w:tcBorders>
            <w:shd w:val="clear" w:color="auto" w:fill="auto"/>
            <w:vAlign w:val="bottom"/>
          </w:tcPr>
          <w:p w:rsidR="00BD00A4" w:rsidRPr="004F7DAB" w:rsidRDefault="00BD00A4" w:rsidP="00BD00A4">
            <w:pPr>
              <w:spacing w:after="0"/>
              <w:jc w:val="center"/>
              <w:rPr>
                <w:color w:val="000000"/>
                <w:szCs w:val="24"/>
                <w:lang w:val="en-US"/>
              </w:rPr>
            </w:pPr>
            <w:r w:rsidRPr="004F7DAB">
              <w:rPr>
                <w:color w:val="000000"/>
                <w:szCs w:val="24"/>
                <w:lang w:val="en-US"/>
              </w:rPr>
              <w:t>100%</w:t>
            </w:r>
          </w:p>
        </w:tc>
      </w:tr>
      <w:tr w:rsidR="00BD00A4" w:rsidRPr="004F7DAB" w:rsidTr="000C0843">
        <w:trPr>
          <w:gridAfter w:val="1"/>
          <w:wAfter w:w="270" w:type="dxa"/>
          <w:trHeight w:val="330"/>
          <w:jc w:val="center"/>
        </w:trPr>
        <w:tc>
          <w:tcPr>
            <w:tcW w:w="3330" w:type="dxa"/>
            <w:tcBorders>
              <w:top w:val="nil"/>
              <w:left w:val="single" w:sz="8" w:space="0" w:color="auto"/>
              <w:bottom w:val="single" w:sz="4" w:space="0" w:color="auto"/>
              <w:right w:val="nil"/>
            </w:tcBorders>
            <w:shd w:val="clear" w:color="auto" w:fill="auto"/>
            <w:noWrap/>
            <w:vAlign w:val="bottom"/>
            <w:hideMark/>
          </w:tcPr>
          <w:p w:rsidR="00BD00A4" w:rsidRPr="004F7DAB" w:rsidRDefault="00BD00A4" w:rsidP="00BD00A4">
            <w:pPr>
              <w:spacing w:after="0"/>
              <w:jc w:val="center"/>
              <w:rPr>
                <w:b/>
                <w:bCs/>
                <w:color w:val="000000"/>
                <w:szCs w:val="24"/>
                <w:lang w:val="en-US"/>
              </w:rPr>
            </w:pPr>
            <w:r w:rsidRPr="004F7DAB">
              <w:rPr>
                <w:b/>
                <w:bCs/>
                <w:color w:val="000000"/>
                <w:szCs w:val="24"/>
                <w:lang w:val="en-US"/>
              </w:rPr>
              <w:t>Flat – 0%</w:t>
            </w:r>
          </w:p>
        </w:tc>
        <w:tc>
          <w:tcPr>
            <w:tcW w:w="1440" w:type="dxa"/>
            <w:tcBorders>
              <w:top w:val="nil"/>
              <w:left w:val="single" w:sz="8" w:space="0" w:color="auto"/>
              <w:bottom w:val="single" w:sz="4" w:space="0" w:color="auto"/>
              <w:right w:val="single" w:sz="4" w:space="0" w:color="auto"/>
            </w:tcBorders>
            <w:shd w:val="clear" w:color="auto" w:fill="auto"/>
            <w:noWrap/>
            <w:vAlign w:val="bottom"/>
          </w:tcPr>
          <w:p w:rsidR="00BD00A4" w:rsidRPr="004F7DAB" w:rsidRDefault="00BD00A4" w:rsidP="00BD00A4">
            <w:pPr>
              <w:spacing w:after="0"/>
              <w:jc w:val="center"/>
              <w:rPr>
                <w:color w:val="000000"/>
                <w:szCs w:val="24"/>
                <w:lang w:val="en-US"/>
              </w:rPr>
            </w:pPr>
            <w:r w:rsidRPr="004F7DAB">
              <w:rPr>
                <w:color w:val="000000"/>
                <w:szCs w:val="24"/>
                <w:lang w:val="en-US"/>
              </w:rPr>
              <w:t>45%</w:t>
            </w:r>
          </w:p>
        </w:tc>
        <w:tc>
          <w:tcPr>
            <w:tcW w:w="1440" w:type="dxa"/>
            <w:tcBorders>
              <w:top w:val="nil"/>
              <w:left w:val="single" w:sz="8" w:space="0" w:color="auto"/>
              <w:bottom w:val="single" w:sz="4" w:space="0" w:color="auto"/>
              <w:right w:val="single" w:sz="4" w:space="0" w:color="auto"/>
            </w:tcBorders>
            <w:shd w:val="clear" w:color="auto" w:fill="auto"/>
            <w:vAlign w:val="bottom"/>
          </w:tcPr>
          <w:p w:rsidR="00BD00A4" w:rsidRPr="004F7DAB" w:rsidRDefault="00BD00A4" w:rsidP="00BD00A4">
            <w:pPr>
              <w:spacing w:after="0"/>
              <w:jc w:val="center"/>
              <w:rPr>
                <w:color w:val="000000"/>
                <w:szCs w:val="24"/>
                <w:lang w:val="en-US"/>
              </w:rPr>
            </w:pPr>
            <w:r w:rsidRPr="004F7DAB">
              <w:rPr>
                <w:color w:val="000000"/>
                <w:szCs w:val="24"/>
                <w:lang w:val="en-US"/>
              </w:rPr>
              <w:t>63%</w:t>
            </w:r>
          </w:p>
        </w:tc>
        <w:tc>
          <w:tcPr>
            <w:tcW w:w="1710" w:type="dxa"/>
            <w:tcBorders>
              <w:top w:val="nil"/>
              <w:left w:val="single" w:sz="8" w:space="0" w:color="auto"/>
              <w:bottom w:val="single" w:sz="4" w:space="0" w:color="auto"/>
              <w:right w:val="single" w:sz="8" w:space="0" w:color="auto"/>
            </w:tcBorders>
            <w:shd w:val="clear" w:color="auto" w:fill="auto"/>
            <w:noWrap/>
            <w:vAlign w:val="bottom"/>
          </w:tcPr>
          <w:p w:rsidR="00BD00A4" w:rsidRPr="004F7DAB" w:rsidRDefault="00BD00A4" w:rsidP="00BD00A4">
            <w:pPr>
              <w:spacing w:after="0"/>
              <w:jc w:val="center"/>
              <w:rPr>
                <w:color w:val="000000"/>
                <w:szCs w:val="24"/>
                <w:lang w:val="en-US"/>
              </w:rPr>
            </w:pPr>
            <w:r w:rsidRPr="004F7DAB">
              <w:rPr>
                <w:color w:val="000000"/>
                <w:szCs w:val="24"/>
                <w:lang w:val="en-US"/>
              </w:rPr>
              <w:t>100%</w:t>
            </w:r>
          </w:p>
        </w:tc>
        <w:tc>
          <w:tcPr>
            <w:tcW w:w="1710" w:type="dxa"/>
            <w:tcBorders>
              <w:top w:val="nil"/>
              <w:left w:val="single" w:sz="8" w:space="0" w:color="auto"/>
              <w:bottom w:val="single" w:sz="4" w:space="0" w:color="auto"/>
              <w:right w:val="single" w:sz="8" w:space="0" w:color="auto"/>
            </w:tcBorders>
            <w:shd w:val="clear" w:color="auto" w:fill="auto"/>
            <w:vAlign w:val="bottom"/>
          </w:tcPr>
          <w:p w:rsidR="00BD00A4" w:rsidRPr="004F7DAB" w:rsidRDefault="00BD00A4" w:rsidP="00BD00A4">
            <w:pPr>
              <w:spacing w:after="0"/>
              <w:jc w:val="center"/>
              <w:rPr>
                <w:color w:val="000000"/>
                <w:szCs w:val="24"/>
                <w:lang w:val="en-US"/>
              </w:rPr>
            </w:pPr>
            <w:r w:rsidRPr="004F7DAB">
              <w:rPr>
                <w:color w:val="000000"/>
                <w:szCs w:val="24"/>
                <w:lang w:val="en-US"/>
              </w:rPr>
              <w:t>100%</w:t>
            </w:r>
          </w:p>
        </w:tc>
      </w:tr>
      <w:tr w:rsidR="00BD00A4" w:rsidRPr="004F7DAB" w:rsidTr="000C0843">
        <w:trPr>
          <w:gridAfter w:val="1"/>
          <w:wAfter w:w="27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BD00A4" w:rsidRPr="004F7DAB" w:rsidRDefault="00BD00A4" w:rsidP="00BD00A4">
            <w:pPr>
              <w:spacing w:after="0"/>
              <w:jc w:val="center"/>
              <w:rPr>
                <w:b/>
                <w:bCs/>
                <w:color w:val="000000"/>
                <w:szCs w:val="24"/>
                <w:lang w:val="en-US"/>
              </w:rPr>
            </w:pPr>
            <w:r w:rsidRPr="004F7DAB">
              <w:rPr>
                <w:b/>
                <w:bCs/>
                <w:color w:val="000000"/>
                <w:szCs w:val="24"/>
                <w:lang w:val="en-US"/>
              </w:rPr>
              <w:t>Classic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BD00A4" w:rsidRPr="004F7DAB" w:rsidRDefault="00BD00A4" w:rsidP="00BD00A4">
            <w:pPr>
              <w:spacing w:after="0"/>
              <w:jc w:val="center"/>
              <w:rPr>
                <w:color w:val="000000"/>
                <w:szCs w:val="24"/>
                <w:lang w:val="en-US"/>
              </w:rPr>
            </w:pPr>
            <w:r w:rsidRPr="004F7DAB">
              <w:rPr>
                <w:color w:val="000000"/>
                <w:szCs w:val="24"/>
                <w:lang w:val="en-US"/>
              </w:rPr>
              <w:t>34%</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BD00A4" w:rsidRPr="004F7DAB" w:rsidRDefault="00BD00A4" w:rsidP="00BD00A4">
            <w:pPr>
              <w:spacing w:after="0"/>
              <w:jc w:val="center"/>
              <w:rPr>
                <w:color w:val="000000"/>
                <w:szCs w:val="24"/>
                <w:lang w:val="en-US"/>
              </w:rPr>
            </w:pPr>
            <w:r w:rsidRPr="004F7DAB">
              <w:rPr>
                <w:color w:val="000000"/>
                <w:szCs w:val="24"/>
                <w:lang w:val="en-US"/>
              </w:rPr>
              <w:t>52%</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BD00A4" w:rsidRPr="004F7DAB" w:rsidRDefault="00BD00A4" w:rsidP="00BD00A4">
            <w:pPr>
              <w:spacing w:after="0"/>
              <w:jc w:val="center"/>
              <w:rPr>
                <w:color w:val="000000"/>
                <w:szCs w:val="24"/>
                <w:lang w:val="en-US"/>
              </w:rPr>
            </w:pPr>
            <w:r w:rsidRPr="004F7DAB">
              <w:rPr>
                <w:color w:val="000000"/>
                <w:szCs w:val="24"/>
                <w:lang w:val="en-US"/>
              </w:rPr>
              <w:t>N.A.</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BD00A4" w:rsidRPr="004F7DAB" w:rsidRDefault="00BD00A4" w:rsidP="00BD00A4">
            <w:pPr>
              <w:spacing w:after="0"/>
              <w:jc w:val="center"/>
              <w:rPr>
                <w:color w:val="000000"/>
                <w:szCs w:val="24"/>
                <w:lang w:val="en-US"/>
              </w:rPr>
            </w:pPr>
            <w:r w:rsidRPr="004F7DAB">
              <w:rPr>
                <w:color w:val="000000"/>
                <w:szCs w:val="24"/>
                <w:lang w:val="en-US"/>
              </w:rPr>
              <w:t>N.A.</w:t>
            </w:r>
          </w:p>
        </w:tc>
      </w:tr>
      <w:tr w:rsidR="00BD00A4" w:rsidRPr="004F7DAB" w:rsidTr="000C0843">
        <w:trPr>
          <w:gridAfter w:val="1"/>
          <w:wAfter w:w="27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BD00A4" w:rsidRPr="004F7DAB" w:rsidRDefault="00BD00A4" w:rsidP="00BD00A4">
            <w:pPr>
              <w:spacing w:after="0"/>
              <w:jc w:val="center"/>
              <w:rPr>
                <w:b/>
                <w:bCs/>
                <w:color w:val="000000"/>
                <w:szCs w:val="24"/>
                <w:lang w:val="en-US"/>
              </w:rPr>
            </w:pPr>
            <w:r w:rsidRPr="004F7DAB">
              <w:rPr>
                <w:b/>
                <w:bCs/>
                <w:color w:val="000000"/>
                <w:szCs w:val="24"/>
                <w:lang w:val="en-US"/>
              </w:rPr>
              <w:t>Flat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BD00A4" w:rsidRPr="004F7DAB" w:rsidRDefault="00BD00A4" w:rsidP="00BD00A4">
            <w:pPr>
              <w:spacing w:after="0"/>
              <w:jc w:val="center"/>
              <w:rPr>
                <w:color w:val="000000"/>
                <w:szCs w:val="24"/>
                <w:lang w:val="en-US"/>
              </w:rPr>
            </w:pPr>
            <w:r w:rsidRPr="004F7DAB">
              <w:rPr>
                <w:color w:val="000000"/>
                <w:szCs w:val="24"/>
                <w:lang w:val="en-US"/>
              </w:rPr>
              <w:t>55%</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BD00A4" w:rsidRPr="004F7DAB" w:rsidRDefault="00BD00A4" w:rsidP="00BD00A4">
            <w:pPr>
              <w:spacing w:after="0"/>
              <w:jc w:val="center"/>
              <w:rPr>
                <w:color w:val="000000"/>
                <w:szCs w:val="24"/>
                <w:lang w:val="en-US"/>
              </w:rPr>
            </w:pPr>
            <w:r w:rsidRPr="004F7DAB">
              <w:rPr>
                <w:color w:val="000000"/>
                <w:szCs w:val="24"/>
                <w:lang w:val="en-US"/>
              </w:rPr>
              <w:t>73%</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BD00A4" w:rsidRPr="004F7DAB" w:rsidRDefault="00BD00A4" w:rsidP="00BD00A4">
            <w:pPr>
              <w:spacing w:after="0"/>
              <w:jc w:val="center"/>
              <w:rPr>
                <w:color w:val="000000"/>
                <w:szCs w:val="24"/>
                <w:lang w:val="en-US"/>
              </w:rPr>
            </w:pPr>
            <w:r w:rsidRPr="004F7DAB">
              <w:rPr>
                <w:color w:val="000000"/>
                <w:szCs w:val="24"/>
                <w:lang w:val="en-US"/>
              </w:rPr>
              <w:t>N.A.</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BD00A4" w:rsidRPr="004F7DAB" w:rsidRDefault="00BD00A4" w:rsidP="00BD00A4">
            <w:pPr>
              <w:spacing w:after="0"/>
              <w:jc w:val="center"/>
              <w:rPr>
                <w:color w:val="000000"/>
                <w:szCs w:val="24"/>
                <w:lang w:val="en-US"/>
              </w:rPr>
            </w:pPr>
            <w:r w:rsidRPr="004F7DAB">
              <w:rPr>
                <w:color w:val="000000"/>
                <w:szCs w:val="24"/>
                <w:lang w:val="en-US"/>
              </w:rPr>
              <w:t>N.A.</w:t>
            </w:r>
          </w:p>
        </w:tc>
      </w:tr>
    </w:tbl>
    <w:p w:rsidR="003662FF" w:rsidRDefault="003662FF">
      <w:pPr>
        <w:rPr>
          <w:b/>
          <w:i/>
          <w:lang w:val="en-US"/>
        </w:rPr>
      </w:pPr>
    </w:p>
    <w:p w:rsidR="00BD00A4" w:rsidRPr="004E6DA4" w:rsidRDefault="00BD00A4" w:rsidP="004E6DA4">
      <w:pPr>
        <w:rPr>
          <w:b/>
          <w:i/>
          <w:lang w:val="en-US"/>
        </w:rPr>
      </w:pPr>
    </w:p>
    <w:p w:rsidR="009A773F" w:rsidRDefault="009A773F" w:rsidP="009A773F">
      <w:pPr>
        <w:keepNext/>
        <w:jc w:val="center"/>
      </w:pPr>
      <w:r>
        <w:rPr>
          <w:noProof/>
          <w:lang w:val="en-US"/>
        </w:rPr>
        <w:lastRenderedPageBreak/>
        <w:t xml:space="preserve"> </w:t>
      </w:r>
      <w:r w:rsidR="00052C76" w:rsidRPr="00052C76">
        <w:rPr>
          <w:noProof/>
          <w:lang w:val="en-US"/>
        </w:rPr>
        <w:t xml:space="preserve"> </w:t>
      </w:r>
      <w:r w:rsidR="00052C76" w:rsidRPr="00052C76">
        <w:rPr>
          <w:noProof/>
          <w:lang w:val="en-US"/>
        </w:rPr>
        <w:drawing>
          <wp:inline distT="0" distB="0" distL="0" distR="0" wp14:anchorId="0064188A" wp14:editId="080401F8">
            <wp:extent cx="4882896"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5925C7" w:rsidRDefault="009A773F" w:rsidP="009A773F">
      <w:pPr>
        <w:pStyle w:val="Caption"/>
        <w:jc w:val="center"/>
        <w:rPr>
          <w:lang w:val="en-US"/>
        </w:rPr>
      </w:pPr>
      <w:bookmarkStart w:id="16" w:name="_Ref503605098"/>
      <w:r>
        <w:t xml:space="preserve">Figure </w:t>
      </w:r>
      <w:r>
        <w:fldChar w:fldCharType="begin"/>
      </w:r>
      <w:r>
        <w:instrText xml:space="preserve"> SEQ Figure \* ARABIC </w:instrText>
      </w:r>
      <w:r>
        <w:fldChar w:fldCharType="separate"/>
      </w:r>
      <w:r w:rsidR="007C5FAC">
        <w:rPr>
          <w:noProof/>
        </w:rPr>
        <w:t>7</w:t>
      </w:r>
      <w:r>
        <w:fldChar w:fldCharType="end"/>
      </w:r>
      <w:bookmarkEnd w:id="16"/>
      <w:r>
        <w:t xml:space="preserve">. </w:t>
      </w:r>
      <w:r w:rsidRPr="00C13727">
        <w:t xml:space="preserve">SINR CDF comparison in </w:t>
      </w:r>
      <w:proofErr w:type="spellStart"/>
      <w:r w:rsidRPr="00C13727">
        <w:t>UMi</w:t>
      </w:r>
      <w:proofErr w:type="spellEnd"/>
      <w:r w:rsidRPr="00C13727">
        <w:t xml:space="preserve"> - </w:t>
      </w:r>
      <w:r>
        <w:t>U</w:t>
      </w:r>
      <w:r w:rsidRPr="00C13727">
        <w:t xml:space="preserve">L - between spherical and semi-spherical coverage either for Classic approach (continuous line) and Flat approach (dashed line) – </w:t>
      </w:r>
      <w:r>
        <w:t>all UEs are outdoor</w:t>
      </w:r>
      <w:r w:rsidRPr="00C13727">
        <w:t xml:space="preserve"> – ISD =</w:t>
      </w:r>
      <w:r w:rsidR="00B42DE0">
        <w:t>200m.</w:t>
      </w:r>
    </w:p>
    <w:p w:rsidR="009A773F" w:rsidRDefault="00052C76" w:rsidP="009A773F">
      <w:pPr>
        <w:keepNext/>
        <w:jc w:val="center"/>
      </w:pPr>
      <w:r w:rsidRPr="00052C76">
        <w:t xml:space="preserve"> </w:t>
      </w:r>
      <w:r w:rsidRPr="00052C76">
        <w:rPr>
          <w:noProof/>
        </w:rPr>
        <w:drawing>
          <wp:inline distT="0" distB="0" distL="0" distR="0" wp14:anchorId="1414385B" wp14:editId="505C5B56">
            <wp:extent cx="4882896" cy="3657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9A773F" w:rsidRDefault="009A773F" w:rsidP="009A773F">
      <w:pPr>
        <w:pStyle w:val="Caption"/>
        <w:jc w:val="center"/>
      </w:pPr>
      <w:bookmarkStart w:id="17" w:name="_Ref503605112"/>
      <w:r>
        <w:t xml:space="preserve">Figure </w:t>
      </w:r>
      <w:r>
        <w:fldChar w:fldCharType="begin"/>
      </w:r>
      <w:r>
        <w:instrText xml:space="preserve"> SEQ Figure \* ARABIC </w:instrText>
      </w:r>
      <w:r>
        <w:fldChar w:fldCharType="separate"/>
      </w:r>
      <w:r w:rsidR="007C5FAC">
        <w:rPr>
          <w:noProof/>
        </w:rPr>
        <w:t>8</w:t>
      </w:r>
      <w:r>
        <w:fldChar w:fldCharType="end"/>
      </w:r>
      <w:bookmarkEnd w:id="17"/>
      <w:r>
        <w:t xml:space="preserve">. </w:t>
      </w:r>
      <w:r w:rsidRPr="000D3377">
        <w:t xml:space="preserve">SINR CDF comparison in </w:t>
      </w:r>
      <w:proofErr w:type="spellStart"/>
      <w:r w:rsidRPr="000D3377">
        <w:t>UMi</w:t>
      </w:r>
      <w:proofErr w:type="spellEnd"/>
      <w:r w:rsidRPr="000D3377">
        <w:t xml:space="preserve"> - </w:t>
      </w:r>
      <w:r>
        <w:t>U</w:t>
      </w:r>
      <w:r w:rsidRPr="000D3377">
        <w:t xml:space="preserve">L - between spherical and semi-spherical coverage either for Classic approach (continuous line) and Flat approach (dashed line) – </w:t>
      </w:r>
      <w:r>
        <w:t>all UEs are outdoor</w:t>
      </w:r>
      <w:r w:rsidRPr="000D3377">
        <w:t xml:space="preserve"> – ISD = </w:t>
      </w:r>
      <w:r w:rsidR="00B42DE0">
        <w:t>300m.</w:t>
      </w:r>
    </w:p>
    <w:p w:rsidR="009A773F" w:rsidRDefault="009A773F" w:rsidP="009A773F"/>
    <w:p w:rsidR="009A773F" w:rsidRPr="009A773F" w:rsidRDefault="009A773F" w:rsidP="009A773F"/>
    <w:p w:rsidR="009A773F" w:rsidRDefault="00052C76" w:rsidP="009A773F">
      <w:pPr>
        <w:keepNext/>
        <w:jc w:val="center"/>
      </w:pPr>
      <w:r w:rsidRPr="00052C76">
        <w:lastRenderedPageBreak/>
        <w:t xml:space="preserve"> </w:t>
      </w:r>
      <w:r w:rsidR="00B42DE0" w:rsidRPr="00B42DE0">
        <w:rPr>
          <w:noProof/>
        </w:rPr>
        <w:drawing>
          <wp:inline distT="0" distB="0" distL="0" distR="0" wp14:anchorId="15FE7C96" wp14:editId="7A7151B0">
            <wp:extent cx="4882896" cy="3657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5925C7" w:rsidRDefault="009A773F" w:rsidP="009A773F">
      <w:pPr>
        <w:pStyle w:val="Caption"/>
        <w:jc w:val="center"/>
      </w:pPr>
      <w:bookmarkStart w:id="18" w:name="_Ref503605124"/>
      <w:r>
        <w:t xml:space="preserve">Figure </w:t>
      </w:r>
      <w:r>
        <w:fldChar w:fldCharType="begin"/>
      </w:r>
      <w:r>
        <w:instrText xml:space="preserve"> SEQ Figure \* ARABIC </w:instrText>
      </w:r>
      <w:r>
        <w:fldChar w:fldCharType="separate"/>
      </w:r>
      <w:r w:rsidR="007C5FAC">
        <w:rPr>
          <w:noProof/>
        </w:rPr>
        <w:t>9</w:t>
      </w:r>
      <w:r>
        <w:fldChar w:fldCharType="end"/>
      </w:r>
      <w:bookmarkEnd w:id="18"/>
      <w:r>
        <w:t xml:space="preserve">. </w:t>
      </w:r>
      <w:r w:rsidRPr="00385B68">
        <w:t xml:space="preserve">SINR CDF comparison in </w:t>
      </w:r>
      <w:proofErr w:type="spellStart"/>
      <w:r w:rsidRPr="00385B68">
        <w:t>UMi</w:t>
      </w:r>
      <w:proofErr w:type="spellEnd"/>
      <w:r w:rsidRPr="00385B68">
        <w:t xml:space="preserve"> - UL - between spherical and semi-spherical coverage either for Classic approach (continuous line) and Flat approach (dashed line) – </w:t>
      </w:r>
      <w:r>
        <w:t>2</w:t>
      </w:r>
      <w:r w:rsidRPr="00385B68">
        <w:t xml:space="preserve">0% of UEs are indoor – ISD = </w:t>
      </w:r>
      <w:r w:rsidR="00B42DE0">
        <w:t>200m.</w:t>
      </w:r>
    </w:p>
    <w:p w:rsidR="009A773F" w:rsidRDefault="00B42DE0" w:rsidP="009A773F">
      <w:pPr>
        <w:keepNext/>
        <w:jc w:val="center"/>
      </w:pPr>
      <w:r w:rsidRPr="00B42DE0">
        <w:t xml:space="preserve"> </w:t>
      </w:r>
      <w:r w:rsidRPr="00B42DE0">
        <w:rPr>
          <w:noProof/>
        </w:rPr>
        <w:drawing>
          <wp:inline distT="0" distB="0" distL="0" distR="0" wp14:anchorId="70E0EF1E" wp14:editId="465B3744">
            <wp:extent cx="4882896" cy="3657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5925C7" w:rsidRDefault="009A773F" w:rsidP="007D3C53">
      <w:pPr>
        <w:pStyle w:val="Caption"/>
        <w:jc w:val="center"/>
        <w:rPr>
          <w:lang w:val="en-US"/>
        </w:rPr>
      </w:pPr>
      <w:bookmarkStart w:id="19" w:name="_Ref503605127"/>
      <w:r>
        <w:t xml:space="preserve">Figure </w:t>
      </w:r>
      <w:r>
        <w:fldChar w:fldCharType="begin"/>
      </w:r>
      <w:r>
        <w:instrText xml:space="preserve"> SEQ Figure \* ARABIC </w:instrText>
      </w:r>
      <w:r>
        <w:fldChar w:fldCharType="separate"/>
      </w:r>
      <w:r w:rsidR="007C5FAC">
        <w:rPr>
          <w:noProof/>
        </w:rPr>
        <w:t>10</w:t>
      </w:r>
      <w:r>
        <w:fldChar w:fldCharType="end"/>
      </w:r>
      <w:bookmarkEnd w:id="19"/>
      <w:r>
        <w:t xml:space="preserve">. </w:t>
      </w:r>
      <w:r w:rsidRPr="00080CEA">
        <w:t xml:space="preserve">SINR CDF comparison in </w:t>
      </w:r>
      <w:proofErr w:type="spellStart"/>
      <w:r w:rsidRPr="00080CEA">
        <w:t>UMi</w:t>
      </w:r>
      <w:proofErr w:type="spellEnd"/>
      <w:r w:rsidRPr="00080CEA">
        <w:t xml:space="preserve"> - UL - between spherical and semi-spherical coverage either for Classic approach (continuous line) and Flat approach (dashed line) – 20% of UEs are indoor – ISD = </w:t>
      </w:r>
      <w:r w:rsidR="00B42DE0">
        <w:t>300m.</w:t>
      </w:r>
    </w:p>
    <w:p w:rsidR="00D0115D" w:rsidRDefault="00D0115D" w:rsidP="0057391B">
      <w:pPr>
        <w:rPr>
          <w:lang w:val="en-US"/>
        </w:rPr>
      </w:pPr>
    </w:p>
    <w:p w:rsidR="007D3C53" w:rsidRPr="007D3C53" w:rsidRDefault="001B03AB" w:rsidP="00B64BEC">
      <w:pPr>
        <w:pStyle w:val="Heading3"/>
        <w:rPr>
          <w:lang w:val="en-US"/>
        </w:rPr>
      </w:pPr>
      <w:r w:rsidRPr="007D3C53">
        <w:rPr>
          <w:lang w:val="en-US"/>
        </w:rPr>
        <w:lastRenderedPageBreak/>
        <w:t xml:space="preserve">Results </w:t>
      </w:r>
      <w:proofErr w:type="spellStart"/>
      <w:r w:rsidR="007215B8" w:rsidRPr="007D3C53">
        <w:rPr>
          <w:lang w:val="en-US"/>
        </w:rPr>
        <w:t>U</w:t>
      </w:r>
      <w:r w:rsidR="007215B8">
        <w:rPr>
          <w:lang w:val="en-US"/>
        </w:rPr>
        <w:t>M</w:t>
      </w:r>
      <w:r w:rsidR="007215B8" w:rsidRPr="007D3C53">
        <w:rPr>
          <w:lang w:val="en-US"/>
        </w:rPr>
        <w:t>a</w:t>
      </w:r>
      <w:proofErr w:type="spellEnd"/>
    </w:p>
    <w:p w:rsidR="007D3C53" w:rsidRDefault="007D3C53" w:rsidP="001F2E0B">
      <w:pPr>
        <w:jc w:val="both"/>
        <w:rPr>
          <w:lang w:val="en-US"/>
        </w:rPr>
      </w:pPr>
      <w:r>
        <w:rPr>
          <w:lang w:val="en-US"/>
        </w:rPr>
        <w:t xml:space="preserve">This Section analyzes </w:t>
      </w:r>
      <w:proofErr w:type="spellStart"/>
      <w:r>
        <w:rPr>
          <w:lang w:val="en-US"/>
        </w:rPr>
        <w:t>UMa</w:t>
      </w:r>
      <w:proofErr w:type="spellEnd"/>
      <w:r>
        <w:rPr>
          <w:lang w:val="en-US"/>
        </w:rPr>
        <w:t xml:space="preserve"> deployment both for DL and UL setting. The analysis is very </w:t>
      </w:r>
      <w:proofErr w:type="gramStart"/>
      <w:r>
        <w:rPr>
          <w:lang w:val="en-US"/>
        </w:rPr>
        <w:t>similar to</w:t>
      </w:r>
      <w:proofErr w:type="gramEnd"/>
      <w:r>
        <w:rPr>
          <w:lang w:val="en-US"/>
        </w:rPr>
        <w:t xml:space="preserve"> the above for </w:t>
      </w:r>
      <w:proofErr w:type="spellStart"/>
      <w:r>
        <w:rPr>
          <w:lang w:val="en-US"/>
        </w:rPr>
        <w:t>InH</w:t>
      </w:r>
      <w:proofErr w:type="spellEnd"/>
      <w:r>
        <w:rPr>
          <w:lang w:val="en-US"/>
        </w:rPr>
        <w:t xml:space="preserve"> and </w:t>
      </w:r>
      <w:proofErr w:type="spellStart"/>
      <w:r>
        <w:rPr>
          <w:lang w:val="en-US"/>
        </w:rPr>
        <w:t>UMi</w:t>
      </w:r>
      <w:proofErr w:type="spellEnd"/>
      <w:r>
        <w:rPr>
          <w:lang w:val="en-US"/>
        </w:rPr>
        <w:t xml:space="preserve"> settings and will focus on SINR CDF differences between spherical and semi-spherical coverage.</w:t>
      </w:r>
      <w:r>
        <w:rPr>
          <w:lang w:val="en-US"/>
        </w:rPr>
        <w:br/>
        <w:t>Simulation results are shown for different parameters such as:</w:t>
      </w:r>
    </w:p>
    <w:p w:rsidR="007D3C53" w:rsidRDefault="007D3C53" w:rsidP="001F2E0B">
      <w:pPr>
        <w:pStyle w:val="ListParagraph"/>
        <w:numPr>
          <w:ilvl w:val="0"/>
          <w:numId w:val="40"/>
        </w:numPr>
        <w:jc w:val="both"/>
        <w:rPr>
          <w:b/>
          <w:lang w:val="en-US"/>
        </w:rPr>
      </w:pPr>
      <w:r>
        <w:rPr>
          <w:b/>
          <w:lang w:val="en-US"/>
        </w:rPr>
        <w:t xml:space="preserve">ISD = </w:t>
      </w:r>
      <w:r w:rsidR="00B42DE0">
        <w:rPr>
          <w:b/>
          <w:lang w:val="en-US"/>
        </w:rPr>
        <w:t xml:space="preserve">300m </w:t>
      </w:r>
      <w:r>
        <w:rPr>
          <w:b/>
          <w:lang w:val="en-US"/>
        </w:rPr>
        <w:t>and 400 m</w:t>
      </w:r>
    </w:p>
    <w:p w:rsidR="007D3C53" w:rsidRDefault="007D3C53" w:rsidP="001F2E0B">
      <w:pPr>
        <w:pStyle w:val="ListParagraph"/>
        <w:numPr>
          <w:ilvl w:val="0"/>
          <w:numId w:val="40"/>
        </w:numPr>
        <w:jc w:val="both"/>
        <w:rPr>
          <w:b/>
          <w:lang w:val="en-US"/>
        </w:rPr>
      </w:pPr>
      <w:r>
        <w:rPr>
          <w:b/>
          <w:lang w:val="en-US"/>
        </w:rPr>
        <w:t>Indoor UE ratio = 0% and 20%</w:t>
      </w:r>
    </w:p>
    <w:p w:rsidR="007D3C53" w:rsidRDefault="007D3C53" w:rsidP="007D3C53">
      <w:pPr>
        <w:pStyle w:val="Heading3"/>
        <w:numPr>
          <w:ilvl w:val="3"/>
          <w:numId w:val="41"/>
        </w:numPr>
        <w:rPr>
          <w:lang w:val="en-US"/>
        </w:rPr>
      </w:pPr>
      <w:proofErr w:type="spellStart"/>
      <w:r>
        <w:rPr>
          <w:lang w:val="en-US"/>
        </w:rPr>
        <w:t>UMa</w:t>
      </w:r>
      <w:proofErr w:type="spellEnd"/>
      <w:r>
        <w:rPr>
          <w:lang w:val="en-US"/>
        </w:rPr>
        <w:t xml:space="preserve"> DL</w:t>
      </w:r>
    </w:p>
    <w:p w:rsidR="007D3C53" w:rsidRPr="007D3C53" w:rsidRDefault="007D3C53" w:rsidP="001F2E0B">
      <w:pPr>
        <w:jc w:val="both"/>
        <w:rPr>
          <w:lang w:val="en-US"/>
        </w:rPr>
      </w:pPr>
      <w:r>
        <w:rPr>
          <w:lang w:val="en-US"/>
        </w:rPr>
        <w:fldChar w:fldCharType="begin"/>
      </w:r>
      <w:r>
        <w:rPr>
          <w:lang w:val="en-US"/>
        </w:rPr>
        <w:instrText xml:space="preserve"> REF _Ref503433782 \h </w:instrText>
      </w:r>
      <w:r w:rsidR="00B42DE0">
        <w:rPr>
          <w:lang w:val="en-US"/>
        </w:rPr>
        <w:instrText xml:space="preserve"> \* MERGEFORMAT </w:instrText>
      </w:r>
      <w:r>
        <w:rPr>
          <w:lang w:val="en-US"/>
        </w:rPr>
      </w:r>
      <w:r>
        <w:rPr>
          <w:lang w:val="en-US"/>
        </w:rPr>
        <w:fldChar w:fldCharType="separate"/>
      </w:r>
      <w:r w:rsidR="007C5FAC">
        <w:t xml:space="preserve">Figure </w:t>
      </w:r>
      <w:r w:rsidR="007C5FAC">
        <w:rPr>
          <w:noProof/>
        </w:rPr>
        <w:t>11</w:t>
      </w:r>
      <w:r>
        <w:rPr>
          <w:lang w:val="en-US"/>
        </w:rPr>
        <w:fldChar w:fldCharType="end"/>
      </w:r>
      <w:r w:rsidRPr="007D3C53">
        <w:rPr>
          <w:lang w:val="en-US"/>
        </w:rPr>
        <w:t xml:space="preserve"> and </w:t>
      </w:r>
      <w:r>
        <w:rPr>
          <w:lang w:val="en-US"/>
        </w:rPr>
        <w:fldChar w:fldCharType="begin"/>
      </w:r>
      <w:r>
        <w:rPr>
          <w:lang w:val="en-US"/>
        </w:rPr>
        <w:instrText xml:space="preserve"> REF _Ref503433826 \h </w:instrText>
      </w:r>
      <w:r w:rsidR="00B42DE0">
        <w:rPr>
          <w:lang w:val="en-US"/>
        </w:rPr>
        <w:instrText xml:space="preserve"> \* MERGEFORMAT </w:instrText>
      </w:r>
      <w:r>
        <w:rPr>
          <w:lang w:val="en-US"/>
        </w:rPr>
      </w:r>
      <w:r>
        <w:rPr>
          <w:lang w:val="en-US"/>
        </w:rPr>
        <w:fldChar w:fldCharType="separate"/>
      </w:r>
      <w:r w:rsidR="007C5FAC">
        <w:t xml:space="preserve">Figure </w:t>
      </w:r>
      <w:r w:rsidR="007C5FAC">
        <w:rPr>
          <w:noProof/>
        </w:rPr>
        <w:t>12</w:t>
      </w:r>
      <w:r>
        <w:rPr>
          <w:lang w:val="en-US"/>
        </w:rPr>
        <w:fldChar w:fldCharType="end"/>
      </w:r>
      <w:r>
        <w:rPr>
          <w:lang w:val="en-US"/>
        </w:rPr>
        <w:t xml:space="preserve"> </w:t>
      </w:r>
      <w:r w:rsidRPr="007D3C53">
        <w:rPr>
          <w:lang w:val="en-US"/>
        </w:rPr>
        <w:t xml:space="preserve">show a comparison between SINR CDFs for </w:t>
      </w:r>
      <w:proofErr w:type="spellStart"/>
      <w:r w:rsidRPr="007D3C53">
        <w:rPr>
          <w:lang w:val="en-US"/>
        </w:rPr>
        <w:t>UM</w:t>
      </w:r>
      <w:r>
        <w:rPr>
          <w:lang w:val="en-US"/>
        </w:rPr>
        <w:t>a</w:t>
      </w:r>
      <w:proofErr w:type="spellEnd"/>
      <w:r w:rsidRPr="007D3C53">
        <w:rPr>
          <w:lang w:val="en-US"/>
        </w:rPr>
        <w:t xml:space="preserve"> DL for </w:t>
      </w:r>
      <w:r w:rsidR="00B42DE0">
        <w:rPr>
          <w:lang w:val="en-US"/>
        </w:rPr>
        <w:t xml:space="preserve">300m </w:t>
      </w:r>
      <w:r w:rsidRPr="007D3C53">
        <w:rPr>
          <w:lang w:val="en-US"/>
        </w:rPr>
        <w:t xml:space="preserve">and </w:t>
      </w:r>
      <w:r w:rsidR="00B42DE0">
        <w:rPr>
          <w:lang w:val="en-US"/>
        </w:rPr>
        <w:t xml:space="preserve">400m </w:t>
      </w:r>
      <w:r w:rsidRPr="007D3C53">
        <w:rPr>
          <w:lang w:val="en-US"/>
        </w:rPr>
        <w:t xml:space="preserve">ISD, respectively, when all UEs are assumed to be outdoor. </w:t>
      </w:r>
      <w:r w:rsidR="007A76FA">
        <w:rPr>
          <w:lang w:val="en-US"/>
        </w:rPr>
        <w:fldChar w:fldCharType="begin"/>
      </w:r>
      <w:r w:rsidR="007A76FA">
        <w:rPr>
          <w:lang w:val="en-US"/>
        </w:rPr>
        <w:instrText xml:space="preserve"> REF _Ref503606803 \h </w:instrText>
      </w:r>
      <w:r w:rsidR="00B42DE0">
        <w:rPr>
          <w:lang w:val="en-US"/>
        </w:rPr>
        <w:instrText xml:space="preserve"> \* MERGEFORMAT </w:instrText>
      </w:r>
      <w:r w:rsidR="007A76FA">
        <w:rPr>
          <w:lang w:val="en-US"/>
        </w:rPr>
      </w:r>
      <w:r w:rsidR="007A76FA">
        <w:rPr>
          <w:lang w:val="en-US"/>
        </w:rPr>
        <w:fldChar w:fldCharType="separate"/>
      </w:r>
      <w:r w:rsidR="007C5FAC">
        <w:t xml:space="preserve">Figure </w:t>
      </w:r>
      <w:r w:rsidR="007C5FAC">
        <w:rPr>
          <w:noProof/>
        </w:rPr>
        <w:t>13</w:t>
      </w:r>
      <w:r w:rsidR="007A76FA">
        <w:rPr>
          <w:lang w:val="en-US"/>
        </w:rPr>
        <w:fldChar w:fldCharType="end"/>
      </w:r>
      <w:r w:rsidR="007A76FA">
        <w:rPr>
          <w:lang w:val="en-US"/>
        </w:rPr>
        <w:t xml:space="preserve"> and </w:t>
      </w:r>
      <w:r w:rsidR="007A76FA">
        <w:rPr>
          <w:lang w:val="en-US"/>
        </w:rPr>
        <w:fldChar w:fldCharType="begin"/>
      </w:r>
      <w:r w:rsidR="007A76FA">
        <w:rPr>
          <w:lang w:val="en-US"/>
        </w:rPr>
        <w:instrText xml:space="preserve"> REF _Ref503606806 \h </w:instrText>
      </w:r>
      <w:r w:rsidR="00B42DE0">
        <w:rPr>
          <w:lang w:val="en-US"/>
        </w:rPr>
        <w:instrText xml:space="preserve"> \* MERGEFORMAT </w:instrText>
      </w:r>
      <w:r w:rsidR="007A76FA">
        <w:rPr>
          <w:lang w:val="en-US"/>
        </w:rPr>
      </w:r>
      <w:r w:rsidR="007A76FA">
        <w:rPr>
          <w:lang w:val="en-US"/>
        </w:rPr>
        <w:fldChar w:fldCharType="separate"/>
      </w:r>
      <w:r w:rsidR="007C5FAC">
        <w:t xml:space="preserve">Figure </w:t>
      </w:r>
      <w:r w:rsidR="007C5FAC">
        <w:rPr>
          <w:noProof/>
        </w:rPr>
        <w:t>14</w:t>
      </w:r>
      <w:r w:rsidR="007A76FA">
        <w:rPr>
          <w:lang w:val="en-US"/>
        </w:rPr>
        <w:fldChar w:fldCharType="end"/>
      </w:r>
      <w:r w:rsidR="007A76FA">
        <w:rPr>
          <w:lang w:val="en-US"/>
        </w:rPr>
        <w:t xml:space="preserve"> </w:t>
      </w:r>
      <w:r w:rsidRPr="007D3C53">
        <w:rPr>
          <w:lang w:val="en-US"/>
        </w:rPr>
        <w:t xml:space="preserve">show </w:t>
      </w:r>
      <w:r w:rsidR="00B42DE0" w:rsidRPr="007D3C53">
        <w:rPr>
          <w:lang w:val="en-US"/>
        </w:rPr>
        <w:t xml:space="preserve">instead </w:t>
      </w:r>
      <w:r w:rsidRPr="007D3C53">
        <w:rPr>
          <w:lang w:val="en-US"/>
        </w:rPr>
        <w:t xml:space="preserve">the case when 20% of UEs are indoor. Notice that the trend is </w:t>
      </w:r>
      <w:proofErr w:type="gramStart"/>
      <w:r w:rsidRPr="007D3C53">
        <w:rPr>
          <w:lang w:val="en-US"/>
        </w:rPr>
        <w:t>similar to</w:t>
      </w:r>
      <w:proofErr w:type="gramEnd"/>
      <w:r w:rsidRPr="007D3C53">
        <w:rPr>
          <w:lang w:val="en-US"/>
        </w:rPr>
        <w:t xml:space="preserve"> </w:t>
      </w:r>
      <w:proofErr w:type="spellStart"/>
      <w:r w:rsidRPr="007D3C53">
        <w:rPr>
          <w:lang w:val="en-US"/>
        </w:rPr>
        <w:t>InH</w:t>
      </w:r>
      <w:proofErr w:type="spellEnd"/>
      <w:r w:rsidRPr="007D3C53">
        <w:rPr>
          <w:lang w:val="en-US"/>
        </w:rPr>
        <w:t xml:space="preserve"> setting and same considerations apply for the difference between Classic and Flat approach.</w:t>
      </w:r>
    </w:p>
    <w:p w:rsidR="00AA7466" w:rsidRDefault="007D3C53" w:rsidP="001F2E0B">
      <w:pPr>
        <w:jc w:val="both"/>
        <w:rPr>
          <w:lang w:val="en-US"/>
        </w:rPr>
      </w:pPr>
      <w:r w:rsidRPr="007D3C53">
        <w:rPr>
          <w:lang w:val="en-US"/>
        </w:rPr>
        <w:t>It is also interesting to observe the performance degradation due to additional penetration losses when indoor UE are considered.</w:t>
      </w:r>
    </w:p>
    <w:p w:rsidR="00966085" w:rsidRDefault="00966085" w:rsidP="001F2E0B">
      <w:pPr>
        <w:jc w:val="both"/>
        <w:rPr>
          <w:lang w:val="en-US"/>
        </w:rPr>
      </w:pPr>
      <w:r>
        <w:rPr>
          <w:lang w:val="en-US"/>
        </w:rPr>
        <w:t>Our findings for the analyzed scenario are summarized in the following observation:</w:t>
      </w:r>
    </w:p>
    <w:p w:rsidR="00CC2E12" w:rsidRPr="00657486" w:rsidRDefault="00CC2E12" w:rsidP="00CC2E12">
      <w:pPr>
        <w:rPr>
          <w:lang w:val="en-US"/>
        </w:rPr>
      </w:pPr>
      <w:r>
        <w:rPr>
          <w:lang w:val="en-US"/>
        </w:rPr>
        <w:t>For</w:t>
      </w:r>
      <w:r w:rsidRPr="00657486">
        <w:rPr>
          <w:lang w:val="en-US"/>
        </w:rPr>
        <w:t xml:space="preserve"> </w:t>
      </w:r>
      <w:proofErr w:type="spellStart"/>
      <w:r w:rsidR="006842DD">
        <w:rPr>
          <w:lang w:val="en-US"/>
        </w:rPr>
        <w:t>UMa</w:t>
      </w:r>
      <w:proofErr w:type="spellEnd"/>
      <w:r w:rsidRPr="00657486">
        <w:rPr>
          <w:lang w:val="en-US"/>
        </w:rPr>
        <w:t xml:space="preserve"> scenario</w:t>
      </w:r>
      <w:r>
        <w:rPr>
          <w:lang w:val="en-US"/>
        </w:rPr>
        <w:t>, the</w:t>
      </w:r>
      <w:r w:rsidRPr="00657486">
        <w:rPr>
          <w:lang w:val="en-US"/>
        </w:rPr>
        <w:t xml:space="preserve"> maximum </w:t>
      </w:r>
      <w:r>
        <w:rPr>
          <w:lang w:val="en-US"/>
        </w:rPr>
        <w:t>DL SINR and throughput gains due to spherical coverage are reported in the following tables. The gain is computed comparing 2x2 panels with the worst single panel performance</w:t>
      </w:r>
      <w:r w:rsidRPr="00657486">
        <w:rPr>
          <w:lang w:val="en-US"/>
        </w:rPr>
        <w:t>:</w:t>
      </w:r>
    </w:p>
    <w:tbl>
      <w:tblPr>
        <w:tblW w:w="9643" w:type="dxa"/>
        <w:jc w:val="center"/>
        <w:tblLook w:val="04A0" w:firstRow="1" w:lastRow="0" w:firstColumn="1" w:lastColumn="0" w:noHBand="0" w:noVBand="1"/>
      </w:tblPr>
      <w:tblGrid>
        <w:gridCol w:w="3252"/>
        <w:gridCol w:w="1406"/>
        <w:gridCol w:w="1406"/>
        <w:gridCol w:w="1670"/>
        <w:gridCol w:w="1673"/>
        <w:gridCol w:w="236"/>
      </w:tblGrid>
      <w:tr w:rsidR="00B33084" w:rsidRPr="000F4632" w:rsidTr="00D5293A">
        <w:trPr>
          <w:gridAfter w:val="1"/>
          <w:wAfter w:w="236" w:type="dxa"/>
          <w:trHeight w:val="247"/>
          <w:jc w:val="center"/>
        </w:trPr>
        <w:tc>
          <w:tcPr>
            <w:tcW w:w="3252" w:type="dxa"/>
            <w:tcBorders>
              <w:top w:val="nil"/>
              <w:left w:val="nil"/>
              <w:bottom w:val="nil"/>
              <w:right w:val="nil"/>
            </w:tcBorders>
            <w:shd w:val="clear" w:color="auto" w:fill="auto"/>
            <w:noWrap/>
            <w:vAlign w:val="bottom"/>
            <w:hideMark/>
          </w:tcPr>
          <w:p w:rsidR="00B33084" w:rsidRPr="000F4632" w:rsidRDefault="00B33084" w:rsidP="000F4632">
            <w:pPr>
              <w:spacing w:after="0"/>
              <w:jc w:val="center"/>
              <w:rPr>
                <w:szCs w:val="24"/>
                <w:lang w:val="en-US"/>
              </w:rPr>
            </w:pPr>
          </w:p>
        </w:tc>
        <w:tc>
          <w:tcPr>
            <w:tcW w:w="6155"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33084" w:rsidRPr="000F4632" w:rsidRDefault="00B33084" w:rsidP="00E14C45">
            <w:pPr>
              <w:spacing w:after="0"/>
              <w:jc w:val="center"/>
              <w:rPr>
                <w:b/>
                <w:bCs/>
                <w:color w:val="000000"/>
                <w:szCs w:val="24"/>
                <w:lang w:val="en-US"/>
              </w:rPr>
            </w:pPr>
            <w:r w:rsidRPr="000F4632">
              <w:rPr>
                <w:b/>
                <w:bCs/>
                <w:color w:val="000000"/>
                <w:szCs w:val="24"/>
                <w:lang w:val="en-US"/>
              </w:rPr>
              <w:t xml:space="preserve">SINR </w:t>
            </w:r>
            <w:r w:rsidR="00A41C7E" w:rsidRPr="000F4632">
              <w:rPr>
                <w:b/>
                <w:bCs/>
                <w:color w:val="000000"/>
                <w:szCs w:val="24"/>
                <w:lang w:val="en-US"/>
              </w:rPr>
              <w:t xml:space="preserve">maximum </w:t>
            </w:r>
            <w:r w:rsidRPr="000F4632">
              <w:rPr>
                <w:b/>
                <w:bCs/>
                <w:color w:val="000000"/>
                <w:szCs w:val="24"/>
                <w:lang w:val="en-US"/>
              </w:rPr>
              <w:t>gain [dB] of spherical versus semi-spherical</w:t>
            </w:r>
          </w:p>
        </w:tc>
      </w:tr>
      <w:tr w:rsidR="00B33084" w:rsidRPr="000F4632" w:rsidTr="00D5293A">
        <w:trPr>
          <w:gridAfter w:val="1"/>
          <w:wAfter w:w="236" w:type="dxa"/>
          <w:trHeight w:val="247"/>
          <w:jc w:val="center"/>
        </w:trPr>
        <w:tc>
          <w:tcPr>
            <w:tcW w:w="3252" w:type="dxa"/>
            <w:vMerge w:val="restart"/>
            <w:tcBorders>
              <w:top w:val="single" w:sz="8" w:space="0" w:color="auto"/>
              <w:left w:val="single" w:sz="8" w:space="0" w:color="auto"/>
              <w:right w:val="nil"/>
            </w:tcBorders>
            <w:shd w:val="clear" w:color="auto" w:fill="auto"/>
            <w:noWrap/>
            <w:vAlign w:val="center"/>
            <w:hideMark/>
          </w:tcPr>
          <w:p w:rsidR="00B33084" w:rsidRPr="000F4632" w:rsidRDefault="00B33084" w:rsidP="00E14C45">
            <w:pPr>
              <w:spacing w:after="0"/>
              <w:jc w:val="center"/>
              <w:rPr>
                <w:b/>
                <w:bCs/>
                <w:color w:val="000000"/>
                <w:szCs w:val="24"/>
                <w:lang w:val="en-US"/>
              </w:rPr>
            </w:pPr>
            <w:r w:rsidRPr="000F4632">
              <w:rPr>
                <w:b/>
                <w:bCs/>
                <w:color w:val="000000"/>
                <w:szCs w:val="24"/>
                <w:lang w:val="en-US"/>
              </w:rPr>
              <w:t>Approach – % indoor UE</w:t>
            </w:r>
          </w:p>
        </w:tc>
        <w:tc>
          <w:tcPr>
            <w:tcW w:w="2812" w:type="dxa"/>
            <w:gridSpan w:val="2"/>
            <w:tcBorders>
              <w:top w:val="nil"/>
              <w:left w:val="single" w:sz="8" w:space="0" w:color="auto"/>
              <w:bottom w:val="single" w:sz="8" w:space="0" w:color="auto"/>
              <w:right w:val="single" w:sz="4" w:space="0" w:color="auto"/>
            </w:tcBorders>
            <w:shd w:val="clear" w:color="auto" w:fill="auto"/>
            <w:noWrap/>
            <w:vAlign w:val="bottom"/>
            <w:hideMark/>
          </w:tcPr>
          <w:p w:rsidR="00B33084" w:rsidRPr="000F4632" w:rsidRDefault="00B33084" w:rsidP="00E14C45">
            <w:pPr>
              <w:spacing w:after="0"/>
              <w:jc w:val="center"/>
              <w:rPr>
                <w:b/>
                <w:bCs/>
                <w:color w:val="000000"/>
                <w:szCs w:val="24"/>
                <w:lang w:val="en-US"/>
              </w:rPr>
            </w:pPr>
            <w:r w:rsidRPr="000F4632">
              <w:rPr>
                <w:b/>
                <w:bCs/>
                <w:color w:val="000000"/>
                <w:szCs w:val="24"/>
                <w:lang w:val="en-US"/>
              </w:rPr>
              <w:t>50%-tile</w:t>
            </w:r>
          </w:p>
        </w:tc>
        <w:tc>
          <w:tcPr>
            <w:tcW w:w="3343" w:type="dxa"/>
            <w:gridSpan w:val="2"/>
            <w:tcBorders>
              <w:top w:val="nil"/>
              <w:left w:val="nil"/>
              <w:bottom w:val="single" w:sz="8" w:space="0" w:color="auto"/>
              <w:right w:val="single" w:sz="8" w:space="0" w:color="auto"/>
            </w:tcBorders>
            <w:shd w:val="clear" w:color="auto" w:fill="auto"/>
            <w:noWrap/>
            <w:vAlign w:val="bottom"/>
            <w:hideMark/>
          </w:tcPr>
          <w:p w:rsidR="00B33084" w:rsidRPr="000F4632" w:rsidRDefault="00B33084" w:rsidP="00E14C45">
            <w:pPr>
              <w:spacing w:after="0"/>
              <w:jc w:val="center"/>
              <w:rPr>
                <w:b/>
                <w:bCs/>
                <w:color w:val="000000"/>
                <w:szCs w:val="24"/>
                <w:lang w:val="en-US"/>
              </w:rPr>
            </w:pPr>
            <w:r w:rsidRPr="000F4632">
              <w:rPr>
                <w:b/>
                <w:bCs/>
                <w:color w:val="000000"/>
                <w:szCs w:val="24"/>
                <w:lang w:val="en-US"/>
              </w:rPr>
              <w:t>5%-tile</w:t>
            </w:r>
          </w:p>
        </w:tc>
      </w:tr>
      <w:tr w:rsidR="00B33084" w:rsidRPr="000F4632" w:rsidTr="00D5293A">
        <w:trPr>
          <w:trHeight w:val="247"/>
          <w:jc w:val="center"/>
        </w:trPr>
        <w:tc>
          <w:tcPr>
            <w:tcW w:w="3252" w:type="dxa"/>
            <w:vMerge/>
            <w:tcBorders>
              <w:left w:val="single" w:sz="8" w:space="0" w:color="auto"/>
              <w:bottom w:val="single" w:sz="8" w:space="0" w:color="auto"/>
              <w:right w:val="nil"/>
            </w:tcBorders>
            <w:shd w:val="clear" w:color="auto" w:fill="auto"/>
            <w:noWrap/>
            <w:vAlign w:val="bottom"/>
          </w:tcPr>
          <w:p w:rsidR="00B33084" w:rsidRPr="000F4632" w:rsidRDefault="00B33084" w:rsidP="00E14C45">
            <w:pPr>
              <w:spacing w:after="0"/>
              <w:jc w:val="center"/>
              <w:rPr>
                <w:b/>
                <w:bCs/>
                <w:color w:val="000000"/>
                <w:szCs w:val="24"/>
                <w:lang w:val="en-US"/>
              </w:rPr>
            </w:pPr>
          </w:p>
        </w:tc>
        <w:tc>
          <w:tcPr>
            <w:tcW w:w="1406" w:type="dxa"/>
            <w:tcBorders>
              <w:top w:val="nil"/>
              <w:left w:val="single" w:sz="8" w:space="0" w:color="auto"/>
              <w:bottom w:val="single" w:sz="8" w:space="0" w:color="auto"/>
              <w:right w:val="single" w:sz="4" w:space="0" w:color="auto"/>
            </w:tcBorders>
            <w:shd w:val="clear" w:color="auto" w:fill="auto"/>
            <w:noWrap/>
            <w:vAlign w:val="bottom"/>
          </w:tcPr>
          <w:p w:rsidR="00B33084" w:rsidRPr="000F4632" w:rsidRDefault="00B33084" w:rsidP="00E14C45">
            <w:pPr>
              <w:spacing w:after="0"/>
              <w:jc w:val="center"/>
              <w:rPr>
                <w:b/>
                <w:color w:val="000000"/>
                <w:szCs w:val="24"/>
                <w:lang w:val="en-US"/>
              </w:rPr>
            </w:pPr>
            <w:r w:rsidRPr="000F4632">
              <w:rPr>
                <w:b/>
                <w:color w:val="000000"/>
                <w:szCs w:val="24"/>
                <w:lang w:val="en-US"/>
              </w:rPr>
              <w:t>ISD = 300m</w:t>
            </w:r>
          </w:p>
        </w:tc>
        <w:tc>
          <w:tcPr>
            <w:tcW w:w="1406" w:type="dxa"/>
            <w:tcBorders>
              <w:top w:val="nil"/>
              <w:left w:val="single" w:sz="8" w:space="0" w:color="auto"/>
              <w:bottom w:val="single" w:sz="8" w:space="0" w:color="auto"/>
              <w:right w:val="single" w:sz="4"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b/>
                <w:color w:val="000000"/>
                <w:szCs w:val="24"/>
                <w:lang w:val="en-US"/>
              </w:rPr>
              <w:t>ISD = 400m</w:t>
            </w:r>
          </w:p>
        </w:tc>
        <w:tc>
          <w:tcPr>
            <w:tcW w:w="1670" w:type="dxa"/>
            <w:tcBorders>
              <w:top w:val="nil"/>
              <w:left w:val="single" w:sz="8" w:space="0" w:color="auto"/>
              <w:bottom w:val="single" w:sz="8" w:space="0" w:color="auto"/>
              <w:right w:val="single" w:sz="8" w:space="0" w:color="auto"/>
            </w:tcBorders>
            <w:shd w:val="clear" w:color="auto" w:fill="auto"/>
            <w:noWrap/>
            <w:vAlign w:val="bottom"/>
          </w:tcPr>
          <w:p w:rsidR="00B33084" w:rsidRPr="000F4632" w:rsidRDefault="00B33084" w:rsidP="00E14C45">
            <w:pPr>
              <w:spacing w:after="0"/>
              <w:jc w:val="center"/>
              <w:rPr>
                <w:color w:val="000000"/>
                <w:szCs w:val="24"/>
                <w:lang w:val="en-US"/>
              </w:rPr>
            </w:pPr>
            <w:r w:rsidRPr="000F4632">
              <w:rPr>
                <w:b/>
                <w:color w:val="000000"/>
                <w:szCs w:val="24"/>
                <w:lang w:val="en-US"/>
              </w:rPr>
              <w:t>ISD = 300m</w:t>
            </w:r>
          </w:p>
        </w:tc>
        <w:tc>
          <w:tcPr>
            <w:tcW w:w="1673" w:type="dxa"/>
            <w:tcBorders>
              <w:top w:val="nil"/>
              <w:left w:val="single" w:sz="8" w:space="0" w:color="auto"/>
              <w:bottom w:val="single" w:sz="8" w:space="0" w:color="auto"/>
              <w:right w:val="single" w:sz="8"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b/>
                <w:color w:val="000000"/>
                <w:szCs w:val="24"/>
                <w:lang w:val="en-US"/>
              </w:rPr>
              <w:t>ISD = 400m</w:t>
            </w:r>
          </w:p>
        </w:tc>
        <w:tc>
          <w:tcPr>
            <w:tcW w:w="236" w:type="dxa"/>
            <w:vAlign w:val="bottom"/>
          </w:tcPr>
          <w:p w:rsidR="00B33084" w:rsidRPr="000F4632" w:rsidRDefault="00B33084" w:rsidP="00E14C45">
            <w:pPr>
              <w:spacing w:after="0"/>
            </w:pPr>
          </w:p>
        </w:tc>
      </w:tr>
      <w:tr w:rsidR="00B33084" w:rsidRPr="000F4632" w:rsidTr="00D5293A">
        <w:trPr>
          <w:gridAfter w:val="1"/>
          <w:wAfter w:w="236" w:type="dxa"/>
          <w:trHeight w:val="247"/>
          <w:jc w:val="center"/>
        </w:trPr>
        <w:tc>
          <w:tcPr>
            <w:tcW w:w="3252" w:type="dxa"/>
            <w:tcBorders>
              <w:top w:val="nil"/>
              <w:left w:val="single" w:sz="8" w:space="0" w:color="auto"/>
              <w:bottom w:val="single" w:sz="8" w:space="0" w:color="auto"/>
              <w:right w:val="nil"/>
            </w:tcBorders>
            <w:shd w:val="clear" w:color="auto" w:fill="auto"/>
            <w:noWrap/>
            <w:vAlign w:val="bottom"/>
            <w:hideMark/>
          </w:tcPr>
          <w:p w:rsidR="00B33084" w:rsidRPr="000F4632" w:rsidRDefault="00B33084" w:rsidP="00E14C45">
            <w:pPr>
              <w:spacing w:after="0"/>
              <w:jc w:val="center"/>
              <w:rPr>
                <w:b/>
                <w:bCs/>
                <w:color w:val="000000"/>
                <w:szCs w:val="24"/>
                <w:lang w:val="en-US"/>
              </w:rPr>
            </w:pPr>
            <w:r w:rsidRPr="000F4632">
              <w:rPr>
                <w:b/>
                <w:bCs/>
                <w:color w:val="000000"/>
                <w:szCs w:val="24"/>
                <w:lang w:val="en-US"/>
              </w:rPr>
              <w:t>Classic – 0%</w:t>
            </w:r>
          </w:p>
        </w:tc>
        <w:tc>
          <w:tcPr>
            <w:tcW w:w="1406" w:type="dxa"/>
            <w:tcBorders>
              <w:top w:val="nil"/>
              <w:left w:val="single" w:sz="8" w:space="0" w:color="auto"/>
              <w:bottom w:val="single" w:sz="8" w:space="0" w:color="auto"/>
              <w:right w:val="single" w:sz="4" w:space="0" w:color="auto"/>
            </w:tcBorders>
            <w:shd w:val="clear" w:color="auto" w:fill="auto"/>
            <w:noWrap/>
            <w:vAlign w:val="bottom"/>
            <w:hideMark/>
          </w:tcPr>
          <w:p w:rsidR="00B33084" w:rsidRPr="000F4632" w:rsidRDefault="00B33084" w:rsidP="00E14C45">
            <w:pPr>
              <w:spacing w:after="0"/>
              <w:jc w:val="center"/>
              <w:rPr>
                <w:color w:val="000000"/>
                <w:szCs w:val="24"/>
                <w:lang w:val="en-US"/>
              </w:rPr>
            </w:pPr>
            <w:r w:rsidRPr="000F4632">
              <w:rPr>
                <w:color w:val="000000"/>
                <w:szCs w:val="24"/>
                <w:lang w:val="en-US"/>
              </w:rPr>
              <w:t>3.8</w:t>
            </w:r>
          </w:p>
        </w:tc>
        <w:tc>
          <w:tcPr>
            <w:tcW w:w="1406" w:type="dxa"/>
            <w:tcBorders>
              <w:top w:val="nil"/>
              <w:left w:val="single" w:sz="8" w:space="0" w:color="auto"/>
              <w:bottom w:val="single" w:sz="8" w:space="0" w:color="auto"/>
              <w:right w:val="single" w:sz="4"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color w:val="000000"/>
                <w:szCs w:val="24"/>
                <w:lang w:val="en-US"/>
              </w:rPr>
              <w:t>4</w:t>
            </w:r>
          </w:p>
        </w:tc>
        <w:tc>
          <w:tcPr>
            <w:tcW w:w="1670" w:type="dxa"/>
            <w:tcBorders>
              <w:top w:val="nil"/>
              <w:left w:val="single" w:sz="8" w:space="0" w:color="auto"/>
              <w:bottom w:val="single" w:sz="8" w:space="0" w:color="auto"/>
              <w:right w:val="single" w:sz="8" w:space="0" w:color="auto"/>
            </w:tcBorders>
            <w:shd w:val="clear" w:color="auto" w:fill="auto"/>
            <w:noWrap/>
            <w:vAlign w:val="bottom"/>
            <w:hideMark/>
          </w:tcPr>
          <w:p w:rsidR="00B33084" w:rsidRPr="000F4632" w:rsidRDefault="00B33084" w:rsidP="00E14C45">
            <w:pPr>
              <w:spacing w:after="0"/>
              <w:jc w:val="center"/>
              <w:rPr>
                <w:color w:val="000000"/>
                <w:szCs w:val="24"/>
                <w:lang w:val="en-US"/>
              </w:rPr>
            </w:pPr>
            <w:r w:rsidRPr="000F4632">
              <w:rPr>
                <w:color w:val="000000"/>
                <w:szCs w:val="24"/>
                <w:lang w:val="en-US"/>
              </w:rPr>
              <w:t>2.9</w:t>
            </w:r>
          </w:p>
        </w:tc>
        <w:tc>
          <w:tcPr>
            <w:tcW w:w="1673" w:type="dxa"/>
            <w:tcBorders>
              <w:top w:val="nil"/>
              <w:left w:val="single" w:sz="8" w:space="0" w:color="auto"/>
              <w:bottom w:val="single" w:sz="8" w:space="0" w:color="auto"/>
              <w:right w:val="single" w:sz="8"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color w:val="000000"/>
                <w:szCs w:val="24"/>
                <w:lang w:val="en-US"/>
              </w:rPr>
              <w:t>4.2</w:t>
            </w:r>
          </w:p>
        </w:tc>
      </w:tr>
      <w:tr w:rsidR="00B33084" w:rsidRPr="000F4632" w:rsidTr="00D5293A">
        <w:trPr>
          <w:gridAfter w:val="1"/>
          <w:wAfter w:w="236" w:type="dxa"/>
          <w:trHeight w:val="247"/>
          <w:jc w:val="center"/>
        </w:trPr>
        <w:tc>
          <w:tcPr>
            <w:tcW w:w="3252" w:type="dxa"/>
            <w:tcBorders>
              <w:top w:val="nil"/>
              <w:left w:val="single" w:sz="8" w:space="0" w:color="auto"/>
              <w:bottom w:val="single" w:sz="4" w:space="0" w:color="auto"/>
              <w:right w:val="nil"/>
            </w:tcBorders>
            <w:shd w:val="clear" w:color="auto" w:fill="auto"/>
            <w:noWrap/>
            <w:vAlign w:val="bottom"/>
            <w:hideMark/>
          </w:tcPr>
          <w:p w:rsidR="00B33084" w:rsidRPr="000F4632" w:rsidRDefault="00B33084" w:rsidP="00E14C45">
            <w:pPr>
              <w:spacing w:after="0"/>
              <w:jc w:val="center"/>
              <w:rPr>
                <w:b/>
                <w:bCs/>
                <w:color w:val="000000"/>
                <w:szCs w:val="24"/>
                <w:lang w:val="en-US"/>
              </w:rPr>
            </w:pPr>
            <w:r w:rsidRPr="000F4632">
              <w:rPr>
                <w:b/>
                <w:bCs/>
                <w:color w:val="000000"/>
                <w:szCs w:val="24"/>
                <w:lang w:val="en-US"/>
              </w:rPr>
              <w:t>Flat – 0%</w:t>
            </w:r>
          </w:p>
        </w:tc>
        <w:tc>
          <w:tcPr>
            <w:tcW w:w="1406" w:type="dxa"/>
            <w:tcBorders>
              <w:top w:val="nil"/>
              <w:left w:val="single" w:sz="8" w:space="0" w:color="auto"/>
              <w:bottom w:val="single" w:sz="4" w:space="0" w:color="auto"/>
              <w:right w:val="single" w:sz="4" w:space="0" w:color="auto"/>
            </w:tcBorders>
            <w:shd w:val="clear" w:color="auto" w:fill="auto"/>
            <w:noWrap/>
            <w:vAlign w:val="bottom"/>
            <w:hideMark/>
          </w:tcPr>
          <w:p w:rsidR="00B33084" w:rsidRPr="000F4632" w:rsidRDefault="00B33084" w:rsidP="00E14C45">
            <w:pPr>
              <w:spacing w:after="0"/>
              <w:jc w:val="center"/>
              <w:rPr>
                <w:color w:val="000000"/>
                <w:szCs w:val="24"/>
                <w:lang w:val="en-US"/>
              </w:rPr>
            </w:pPr>
            <w:r w:rsidRPr="000F4632">
              <w:rPr>
                <w:color w:val="000000"/>
                <w:szCs w:val="24"/>
                <w:lang w:val="en-US"/>
              </w:rPr>
              <w:t>6.6</w:t>
            </w:r>
          </w:p>
        </w:tc>
        <w:tc>
          <w:tcPr>
            <w:tcW w:w="1406" w:type="dxa"/>
            <w:tcBorders>
              <w:top w:val="nil"/>
              <w:left w:val="single" w:sz="8" w:space="0" w:color="auto"/>
              <w:bottom w:val="single" w:sz="4" w:space="0" w:color="auto"/>
              <w:right w:val="single" w:sz="4"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color w:val="000000"/>
                <w:szCs w:val="24"/>
                <w:lang w:val="en-US"/>
              </w:rPr>
              <w:t>6.9</w:t>
            </w:r>
          </w:p>
        </w:tc>
        <w:tc>
          <w:tcPr>
            <w:tcW w:w="1670" w:type="dxa"/>
            <w:tcBorders>
              <w:top w:val="nil"/>
              <w:left w:val="single" w:sz="8" w:space="0" w:color="auto"/>
              <w:bottom w:val="single" w:sz="4" w:space="0" w:color="auto"/>
              <w:right w:val="single" w:sz="8" w:space="0" w:color="auto"/>
            </w:tcBorders>
            <w:shd w:val="clear" w:color="auto" w:fill="auto"/>
            <w:noWrap/>
            <w:vAlign w:val="bottom"/>
            <w:hideMark/>
          </w:tcPr>
          <w:p w:rsidR="00B33084" w:rsidRPr="000F4632" w:rsidRDefault="00B33084" w:rsidP="00E14C45">
            <w:pPr>
              <w:spacing w:after="0"/>
              <w:jc w:val="center"/>
              <w:rPr>
                <w:color w:val="000000"/>
                <w:szCs w:val="24"/>
                <w:lang w:val="en-US"/>
              </w:rPr>
            </w:pPr>
            <w:r w:rsidRPr="000F4632">
              <w:rPr>
                <w:color w:val="000000"/>
                <w:szCs w:val="24"/>
                <w:lang w:val="en-US"/>
              </w:rPr>
              <w:t>8.8</w:t>
            </w:r>
          </w:p>
        </w:tc>
        <w:tc>
          <w:tcPr>
            <w:tcW w:w="1673" w:type="dxa"/>
            <w:tcBorders>
              <w:top w:val="nil"/>
              <w:left w:val="single" w:sz="8" w:space="0" w:color="auto"/>
              <w:bottom w:val="single" w:sz="4" w:space="0" w:color="auto"/>
              <w:right w:val="single" w:sz="8"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color w:val="000000"/>
                <w:szCs w:val="24"/>
                <w:lang w:val="en-US"/>
              </w:rPr>
              <w:t>10.4</w:t>
            </w:r>
          </w:p>
        </w:tc>
      </w:tr>
      <w:tr w:rsidR="00B33084" w:rsidRPr="000F4632" w:rsidTr="00D5293A">
        <w:trPr>
          <w:gridAfter w:val="1"/>
          <w:wAfter w:w="236" w:type="dxa"/>
          <w:trHeight w:val="247"/>
          <w:jc w:val="center"/>
        </w:trPr>
        <w:tc>
          <w:tcPr>
            <w:tcW w:w="3252" w:type="dxa"/>
            <w:tcBorders>
              <w:top w:val="single" w:sz="4" w:space="0" w:color="auto"/>
              <w:left w:val="single" w:sz="8" w:space="0" w:color="auto"/>
              <w:bottom w:val="single" w:sz="4" w:space="0" w:color="auto"/>
              <w:right w:val="nil"/>
            </w:tcBorders>
            <w:shd w:val="clear" w:color="auto" w:fill="auto"/>
            <w:noWrap/>
            <w:vAlign w:val="bottom"/>
          </w:tcPr>
          <w:p w:rsidR="00B33084" w:rsidRPr="000F4632" w:rsidRDefault="00B33084" w:rsidP="00E14C45">
            <w:pPr>
              <w:spacing w:after="0"/>
              <w:jc w:val="center"/>
              <w:rPr>
                <w:b/>
                <w:bCs/>
                <w:color w:val="000000"/>
                <w:szCs w:val="24"/>
                <w:lang w:val="en-US"/>
              </w:rPr>
            </w:pPr>
            <w:r w:rsidRPr="000F4632">
              <w:rPr>
                <w:b/>
                <w:bCs/>
                <w:color w:val="000000"/>
                <w:szCs w:val="24"/>
                <w:lang w:val="en-US"/>
              </w:rPr>
              <w:t>Classic – 20%</w:t>
            </w:r>
          </w:p>
        </w:tc>
        <w:tc>
          <w:tcPr>
            <w:tcW w:w="1406" w:type="dxa"/>
            <w:tcBorders>
              <w:top w:val="single" w:sz="4" w:space="0" w:color="auto"/>
              <w:left w:val="single" w:sz="8" w:space="0" w:color="auto"/>
              <w:bottom w:val="single" w:sz="4" w:space="0" w:color="auto"/>
              <w:right w:val="single" w:sz="4" w:space="0" w:color="auto"/>
            </w:tcBorders>
            <w:shd w:val="clear" w:color="auto" w:fill="auto"/>
            <w:noWrap/>
            <w:vAlign w:val="bottom"/>
          </w:tcPr>
          <w:p w:rsidR="00B33084" w:rsidRPr="000F4632" w:rsidRDefault="00B33084" w:rsidP="00E14C45">
            <w:pPr>
              <w:spacing w:after="0"/>
              <w:jc w:val="center"/>
              <w:rPr>
                <w:color w:val="000000"/>
                <w:szCs w:val="24"/>
                <w:lang w:val="en-US"/>
              </w:rPr>
            </w:pPr>
            <w:r w:rsidRPr="000F4632">
              <w:rPr>
                <w:color w:val="000000"/>
                <w:szCs w:val="24"/>
                <w:lang w:val="en-US"/>
              </w:rPr>
              <w:t>4</w:t>
            </w:r>
          </w:p>
        </w:tc>
        <w:tc>
          <w:tcPr>
            <w:tcW w:w="1406" w:type="dxa"/>
            <w:tcBorders>
              <w:top w:val="single" w:sz="4" w:space="0" w:color="auto"/>
              <w:left w:val="single" w:sz="8" w:space="0" w:color="auto"/>
              <w:bottom w:val="single" w:sz="4" w:space="0" w:color="auto"/>
              <w:right w:val="single" w:sz="4"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color w:val="000000"/>
                <w:szCs w:val="24"/>
                <w:lang w:val="en-US"/>
              </w:rPr>
              <w:t>4</w:t>
            </w:r>
          </w:p>
        </w:tc>
        <w:tc>
          <w:tcPr>
            <w:tcW w:w="1670" w:type="dxa"/>
            <w:tcBorders>
              <w:top w:val="single" w:sz="4" w:space="0" w:color="auto"/>
              <w:left w:val="single" w:sz="8" w:space="0" w:color="auto"/>
              <w:bottom w:val="single" w:sz="4" w:space="0" w:color="auto"/>
              <w:right w:val="single" w:sz="8" w:space="0" w:color="auto"/>
            </w:tcBorders>
            <w:shd w:val="clear" w:color="auto" w:fill="auto"/>
            <w:noWrap/>
            <w:vAlign w:val="bottom"/>
          </w:tcPr>
          <w:p w:rsidR="00B33084" w:rsidRPr="000F4632" w:rsidRDefault="00B33084" w:rsidP="00E14C45">
            <w:pPr>
              <w:spacing w:after="0"/>
              <w:jc w:val="center"/>
              <w:rPr>
                <w:color w:val="000000"/>
                <w:szCs w:val="24"/>
                <w:lang w:val="en-US"/>
              </w:rPr>
            </w:pPr>
            <w:r w:rsidRPr="000F4632">
              <w:rPr>
                <w:color w:val="000000"/>
                <w:szCs w:val="24"/>
                <w:lang w:val="en-US"/>
              </w:rPr>
              <w:t>6.5</w:t>
            </w:r>
          </w:p>
        </w:tc>
        <w:tc>
          <w:tcPr>
            <w:tcW w:w="1673" w:type="dxa"/>
            <w:tcBorders>
              <w:top w:val="single" w:sz="4" w:space="0" w:color="auto"/>
              <w:left w:val="single" w:sz="8" w:space="0" w:color="auto"/>
              <w:bottom w:val="single" w:sz="4" w:space="0" w:color="auto"/>
              <w:right w:val="single" w:sz="8"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color w:val="000000"/>
                <w:szCs w:val="24"/>
                <w:lang w:val="en-US"/>
              </w:rPr>
              <w:t>6.4</w:t>
            </w:r>
          </w:p>
        </w:tc>
      </w:tr>
      <w:tr w:rsidR="00B33084" w:rsidRPr="000F4632" w:rsidTr="00D5293A">
        <w:trPr>
          <w:gridAfter w:val="1"/>
          <w:wAfter w:w="236" w:type="dxa"/>
          <w:trHeight w:val="247"/>
          <w:jc w:val="center"/>
        </w:trPr>
        <w:tc>
          <w:tcPr>
            <w:tcW w:w="3252" w:type="dxa"/>
            <w:tcBorders>
              <w:top w:val="single" w:sz="4" w:space="0" w:color="auto"/>
              <w:left w:val="single" w:sz="8" w:space="0" w:color="auto"/>
              <w:bottom w:val="single" w:sz="4" w:space="0" w:color="auto"/>
              <w:right w:val="nil"/>
            </w:tcBorders>
            <w:shd w:val="clear" w:color="auto" w:fill="auto"/>
            <w:noWrap/>
            <w:vAlign w:val="bottom"/>
          </w:tcPr>
          <w:p w:rsidR="00B33084" w:rsidRPr="000F4632" w:rsidRDefault="00B33084" w:rsidP="00E14C45">
            <w:pPr>
              <w:spacing w:after="0"/>
              <w:jc w:val="center"/>
              <w:rPr>
                <w:b/>
                <w:bCs/>
                <w:color w:val="000000"/>
                <w:szCs w:val="24"/>
                <w:lang w:val="en-US"/>
              </w:rPr>
            </w:pPr>
            <w:r w:rsidRPr="000F4632">
              <w:rPr>
                <w:b/>
                <w:bCs/>
                <w:color w:val="000000"/>
                <w:szCs w:val="24"/>
                <w:lang w:val="en-US"/>
              </w:rPr>
              <w:t>Flat – 20%</w:t>
            </w:r>
          </w:p>
        </w:tc>
        <w:tc>
          <w:tcPr>
            <w:tcW w:w="1406" w:type="dxa"/>
            <w:tcBorders>
              <w:top w:val="single" w:sz="4" w:space="0" w:color="auto"/>
              <w:left w:val="single" w:sz="8" w:space="0" w:color="auto"/>
              <w:bottom w:val="single" w:sz="4" w:space="0" w:color="auto"/>
              <w:right w:val="single" w:sz="4" w:space="0" w:color="auto"/>
            </w:tcBorders>
            <w:shd w:val="clear" w:color="auto" w:fill="auto"/>
            <w:noWrap/>
            <w:vAlign w:val="bottom"/>
          </w:tcPr>
          <w:p w:rsidR="00B33084" w:rsidRPr="000F4632" w:rsidRDefault="00B33084" w:rsidP="00E14C45">
            <w:pPr>
              <w:spacing w:after="0"/>
              <w:jc w:val="center"/>
              <w:rPr>
                <w:color w:val="000000"/>
                <w:szCs w:val="24"/>
                <w:lang w:val="en-US"/>
              </w:rPr>
            </w:pPr>
            <w:r w:rsidRPr="000F4632">
              <w:rPr>
                <w:color w:val="000000"/>
                <w:szCs w:val="24"/>
                <w:lang w:val="en-US"/>
              </w:rPr>
              <w:t>6.8</w:t>
            </w:r>
          </w:p>
        </w:tc>
        <w:tc>
          <w:tcPr>
            <w:tcW w:w="1406" w:type="dxa"/>
            <w:tcBorders>
              <w:top w:val="single" w:sz="4" w:space="0" w:color="auto"/>
              <w:left w:val="single" w:sz="8" w:space="0" w:color="auto"/>
              <w:bottom w:val="single" w:sz="4" w:space="0" w:color="auto"/>
              <w:right w:val="single" w:sz="4"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color w:val="000000"/>
                <w:szCs w:val="24"/>
                <w:lang w:val="en-US"/>
              </w:rPr>
              <w:t>6.9</w:t>
            </w:r>
          </w:p>
        </w:tc>
        <w:tc>
          <w:tcPr>
            <w:tcW w:w="1670" w:type="dxa"/>
            <w:tcBorders>
              <w:top w:val="single" w:sz="4" w:space="0" w:color="auto"/>
              <w:left w:val="single" w:sz="8" w:space="0" w:color="auto"/>
              <w:bottom w:val="single" w:sz="4" w:space="0" w:color="auto"/>
              <w:right w:val="single" w:sz="8" w:space="0" w:color="auto"/>
            </w:tcBorders>
            <w:shd w:val="clear" w:color="auto" w:fill="auto"/>
            <w:noWrap/>
            <w:vAlign w:val="bottom"/>
          </w:tcPr>
          <w:p w:rsidR="00B33084" w:rsidRPr="000F4632" w:rsidRDefault="00B33084" w:rsidP="00E14C45">
            <w:pPr>
              <w:spacing w:after="0"/>
              <w:jc w:val="center"/>
              <w:rPr>
                <w:color w:val="000000"/>
                <w:szCs w:val="24"/>
                <w:lang w:val="en-US"/>
              </w:rPr>
            </w:pPr>
            <w:r w:rsidRPr="000F4632">
              <w:rPr>
                <w:color w:val="000000"/>
                <w:szCs w:val="24"/>
                <w:lang w:val="en-US"/>
              </w:rPr>
              <w:t>11.4</w:t>
            </w:r>
          </w:p>
        </w:tc>
        <w:tc>
          <w:tcPr>
            <w:tcW w:w="1673" w:type="dxa"/>
            <w:tcBorders>
              <w:top w:val="single" w:sz="4" w:space="0" w:color="auto"/>
              <w:left w:val="single" w:sz="8" w:space="0" w:color="auto"/>
              <w:bottom w:val="single" w:sz="4" w:space="0" w:color="auto"/>
              <w:right w:val="single" w:sz="8" w:space="0" w:color="auto"/>
            </w:tcBorders>
            <w:shd w:val="clear" w:color="auto" w:fill="auto"/>
            <w:vAlign w:val="bottom"/>
          </w:tcPr>
          <w:p w:rsidR="00B33084" w:rsidRPr="000F4632" w:rsidRDefault="00B33084" w:rsidP="00E14C45">
            <w:pPr>
              <w:spacing w:after="0"/>
              <w:jc w:val="center"/>
              <w:rPr>
                <w:color w:val="000000"/>
                <w:szCs w:val="24"/>
                <w:lang w:val="en-US"/>
              </w:rPr>
            </w:pPr>
            <w:r w:rsidRPr="000F4632">
              <w:rPr>
                <w:color w:val="000000"/>
                <w:szCs w:val="24"/>
                <w:lang w:val="en-US"/>
              </w:rPr>
              <w:t>10.3</w:t>
            </w:r>
          </w:p>
        </w:tc>
      </w:tr>
    </w:tbl>
    <w:p w:rsidR="00B33084" w:rsidRDefault="00B33084">
      <w:pPr>
        <w:jc w:val="both"/>
        <w:rPr>
          <w:b/>
          <w:i/>
          <w:lang w:val="en-US"/>
        </w:rPr>
      </w:pPr>
    </w:p>
    <w:tbl>
      <w:tblPr>
        <w:tblW w:w="9646" w:type="dxa"/>
        <w:jc w:val="center"/>
        <w:tblLook w:val="04A0" w:firstRow="1" w:lastRow="0" w:firstColumn="1" w:lastColumn="0" w:noHBand="0" w:noVBand="1"/>
      </w:tblPr>
      <w:tblGrid>
        <w:gridCol w:w="3254"/>
        <w:gridCol w:w="1407"/>
        <w:gridCol w:w="1407"/>
        <w:gridCol w:w="1671"/>
        <w:gridCol w:w="1671"/>
        <w:gridCol w:w="236"/>
      </w:tblGrid>
      <w:tr w:rsidR="003A667B" w:rsidRPr="000F4632" w:rsidTr="00D5293A">
        <w:trPr>
          <w:gridAfter w:val="1"/>
          <w:wAfter w:w="236" w:type="dxa"/>
          <w:trHeight w:val="251"/>
          <w:jc w:val="center"/>
        </w:trPr>
        <w:tc>
          <w:tcPr>
            <w:tcW w:w="3254" w:type="dxa"/>
            <w:tcBorders>
              <w:top w:val="nil"/>
              <w:left w:val="nil"/>
              <w:bottom w:val="nil"/>
              <w:right w:val="nil"/>
            </w:tcBorders>
            <w:shd w:val="clear" w:color="auto" w:fill="auto"/>
            <w:noWrap/>
            <w:vAlign w:val="bottom"/>
            <w:hideMark/>
          </w:tcPr>
          <w:p w:rsidR="003A667B" w:rsidRPr="000F4632" w:rsidRDefault="003A667B" w:rsidP="006E4677">
            <w:pPr>
              <w:spacing w:after="0"/>
              <w:rPr>
                <w:szCs w:val="24"/>
                <w:lang w:val="en-US"/>
              </w:rPr>
            </w:pPr>
          </w:p>
        </w:tc>
        <w:tc>
          <w:tcPr>
            <w:tcW w:w="6156"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A667B" w:rsidRPr="000F4632" w:rsidRDefault="003A667B" w:rsidP="006E4677">
            <w:pPr>
              <w:spacing w:after="0"/>
              <w:jc w:val="center"/>
              <w:rPr>
                <w:b/>
                <w:bCs/>
                <w:color w:val="000000"/>
                <w:szCs w:val="24"/>
                <w:lang w:val="en-US"/>
              </w:rPr>
            </w:pPr>
            <w:r w:rsidRPr="000F4632">
              <w:rPr>
                <w:b/>
                <w:bCs/>
                <w:color w:val="000000"/>
                <w:szCs w:val="24"/>
                <w:lang w:val="en-US"/>
              </w:rPr>
              <w:t>Throughput maximum gain of spherical versus semi-spherical</w:t>
            </w:r>
          </w:p>
        </w:tc>
      </w:tr>
      <w:tr w:rsidR="003A667B" w:rsidRPr="000F4632" w:rsidTr="00D5293A">
        <w:trPr>
          <w:gridAfter w:val="1"/>
          <w:wAfter w:w="236" w:type="dxa"/>
          <w:trHeight w:val="251"/>
          <w:jc w:val="center"/>
        </w:trPr>
        <w:tc>
          <w:tcPr>
            <w:tcW w:w="3254" w:type="dxa"/>
            <w:vMerge w:val="restart"/>
            <w:tcBorders>
              <w:top w:val="single" w:sz="8" w:space="0" w:color="auto"/>
              <w:left w:val="single" w:sz="8" w:space="0" w:color="auto"/>
              <w:right w:val="nil"/>
            </w:tcBorders>
            <w:shd w:val="clear" w:color="auto" w:fill="auto"/>
            <w:noWrap/>
            <w:vAlign w:val="center"/>
            <w:hideMark/>
          </w:tcPr>
          <w:p w:rsidR="003A667B" w:rsidRPr="000F4632" w:rsidRDefault="003A667B" w:rsidP="006E4677">
            <w:pPr>
              <w:spacing w:after="0"/>
              <w:jc w:val="center"/>
              <w:rPr>
                <w:b/>
                <w:bCs/>
                <w:color w:val="000000"/>
                <w:szCs w:val="24"/>
                <w:lang w:val="en-US"/>
              </w:rPr>
            </w:pPr>
            <w:r w:rsidRPr="000F4632">
              <w:rPr>
                <w:b/>
                <w:bCs/>
                <w:color w:val="000000"/>
                <w:szCs w:val="24"/>
                <w:lang w:val="en-US"/>
              </w:rPr>
              <w:t>Approach – % indoor UE</w:t>
            </w:r>
          </w:p>
        </w:tc>
        <w:tc>
          <w:tcPr>
            <w:tcW w:w="2814" w:type="dxa"/>
            <w:gridSpan w:val="2"/>
            <w:tcBorders>
              <w:top w:val="nil"/>
              <w:left w:val="single" w:sz="8" w:space="0" w:color="auto"/>
              <w:bottom w:val="single" w:sz="8" w:space="0" w:color="auto"/>
              <w:right w:val="single" w:sz="4" w:space="0" w:color="auto"/>
            </w:tcBorders>
            <w:shd w:val="clear" w:color="auto" w:fill="auto"/>
            <w:noWrap/>
            <w:vAlign w:val="bottom"/>
            <w:hideMark/>
          </w:tcPr>
          <w:p w:rsidR="003A667B" w:rsidRPr="000F4632" w:rsidRDefault="003A667B" w:rsidP="006E4677">
            <w:pPr>
              <w:spacing w:after="0"/>
              <w:jc w:val="center"/>
              <w:rPr>
                <w:b/>
                <w:bCs/>
                <w:color w:val="000000"/>
                <w:szCs w:val="24"/>
                <w:lang w:val="en-US"/>
              </w:rPr>
            </w:pPr>
            <w:r w:rsidRPr="000F4632">
              <w:rPr>
                <w:b/>
                <w:bCs/>
                <w:color w:val="000000"/>
                <w:szCs w:val="24"/>
                <w:lang w:val="en-US"/>
              </w:rPr>
              <w:t>50%-tile</w:t>
            </w:r>
          </w:p>
        </w:tc>
        <w:tc>
          <w:tcPr>
            <w:tcW w:w="3342" w:type="dxa"/>
            <w:gridSpan w:val="2"/>
            <w:tcBorders>
              <w:top w:val="nil"/>
              <w:left w:val="nil"/>
              <w:bottom w:val="single" w:sz="8" w:space="0" w:color="auto"/>
              <w:right w:val="single" w:sz="8" w:space="0" w:color="auto"/>
            </w:tcBorders>
            <w:shd w:val="clear" w:color="auto" w:fill="auto"/>
            <w:noWrap/>
            <w:vAlign w:val="bottom"/>
            <w:hideMark/>
          </w:tcPr>
          <w:p w:rsidR="003A667B" w:rsidRPr="000F4632" w:rsidRDefault="003A667B" w:rsidP="006E4677">
            <w:pPr>
              <w:spacing w:after="0"/>
              <w:jc w:val="center"/>
              <w:rPr>
                <w:b/>
                <w:bCs/>
                <w:color w:val="000000"/>
                <w:szCs w:val="24"/>
                <w:lang w:val="en-US"/>
              </w:rPr>
            </w:pPr>
            <w:r w:rsidRPr="000F4632">
              <w:rPr>
                <w:b/>
                <w:bCs/>
                <w:color w:val="000000"/>
                <w:szCs w:val="24"/>
                <w:lang w:val="en-US"/>
              </w:rPr>
              <w:t>5%-tile</w:t>
            </w:r>
          </w:p>
        </w:tc>
      </w:tr>
      <w:tr w:rsidR="003A667B" w:rsidRPr="000F4632" w:rsidTr="00D5293A">
        <w:trPr>
          <w:trHeight w:val="251"/>
          <w:jc w:val="center"/>
        </w:trPr>
        <w:tc>
          <w:tcPr>
            <w:tcW w:w="3254" w:type="dxa"/>
            <w:vMerge/>
            <w:tcBorders>
              <w:left w:val="single" w:sz="8" w:space="0" w:color="auto"/>
              <w:bottom w:val="single" w:sz="8" w:space="0" w:color="auto"/>
              <w:right w:val="nil"/>
            </w:tcBorders>
            <w:shd w:val="clear" w:color="auto" w:fill="auto"/>
            <w:noWrap/>
            <w:vAlign w:val="bottom"/>
          </w:tcPr>
          <w:p w:rsidR="003A667B" w:rsidRPr="000F4632" w:rsidRDefault="003A667B" w:rsidP="006E4677">
            <w:pPr>
              <w:spacing w:after="0"/>
              <w:jc w:val="center"/>
              <w:rPr>
                <w:b/>
                <w:bCs/>
                <w:color w:val="000000"/>
                <w:szCs w:val="24"/>
                <w:lang w:val="en-US"/>
              </w:rPr>
            </w:pPr>
          </w:p>
        </w:tc>
        <w:tc>
          <w:tcPr>
            <w:tcW w:w="1407" w:type="dxa"/>
            <w:tcBorders>
              <w:top w:val="nil"/>
              <w:left w:val="single" w:sz="8" w:space="0" w:color="auto"/>
              <w:bottom w:val="single" w:sz="8" w:space="0" w:color="auto"/>
              <w:right w:val="single" w:sz="4" w:space="0" w:color="auto"/>
            </w:tcBorders>
            <w:shd w:val="clear" w:color="auto" w:fill="auto"/>
            <w:noWrap/>
            <w:vAlign w:val="bottom"/>
          </w:tcPr>
          <w:p w:rsidR="003A667B" w:rsidRPr="000F4632" w:rsidRDefault="003A667B" w:rsidP="006E4677">
            <w:pPr>
              <w:spacing w:after="0"/>
              <w:jc w:val="center"/>
              <w:rPr>
                <w:b/>
                <w:color w:val="000000"/>
                <w:szCs w:val="24"/>
                <w:lang w:val="en-US"/>
              </w:rPr>
            </w:pPr>
            <w:r w:rsidRPr="000F4632">
              <w:rPr>
                <w:b/>
                <w:color w:val="000000"/>
                <w:szCs w:val="24"/>
                <w:lang w:val="en-US"/>
              </w:rPr>
              <w:t xml:space="preserve">ISD = </w:t>
            </w:r>
            <w:r w:rsidR="00B467AD" w:rsidRPr="000F4632">
              <w:rPr>
                <w:b/>
                <w:color w:val="000000"/>
                <w:szCs w:val="24"/>
                <w:lang w:val="en-US"/>
              </w:rPr>
              <w:t>3</w:t>
            </w:r>
            <w:r w:rsidRPr="000F4632">
              <w:rPr>
                <w:b/>
                <w:color w:val="000000"/>
                <w:szCs w:val="24"/>
                <w:lang w:val="en-US"/>
              </w:rPr>
              <w:t>00m</w:t>
            </w:r>
          </w:p>
        </w:tc>
        <w:tc>
          <w:tcPr>
            <w:tcW w:w="1407" w:type="dxa"/>
            <w:tcBorders>
              <w:top w:val="nil"/>
              <w:left w:val="single" w:sz="8" w:space="0" w:color="auto"/>
              <w:bottom w:val="single" w:sz="8" w:space="0" w:color="auto"/>
              <w:right w:val="single" w:sz="4" w:space="0" w:color="auto"/>
            </w:tcBorders>
            <w:shd w:val="clear" w:color="auto" w:fill="auto"/>
            <w:vAlign w:val="bottom"/>
          </w:tcPr>
          <w:p w:rsidR="003A667B" w:rsidRPr="000F4632" w:rsidRDefault="003A667B" w:rsidP="006E4677">
            <w:pPr>
              <w:spacing w:after="0"/>
              <w:jc w:val="center"/>
              <w:rPr>
                <w:color w:val="000000"/>
                <w:szCs w:val="24"/>
                <w:lang w:val="en-US"/>
              </w:rPr>
            </w:pPr>
            <w:r w:rsidRPr="000F4632">
              <w:rPr>
                <w:b/>
                <w:color w:val="000000"/>
                <w:szCs w:val="24"/>
                <w:lang w:val="en-US"/>
              </w:rPr>
              <w:t xml:space="preserve">ISD = </w:t>
            </w:r>
            <w:r w:rsidR="00B467AD" w:rsidRPr="000F4632">
              <w:rPr>
                <w:b/>
                <w:color w:val="000000"/>
                <w:szCs w:val="24"/>
                <w:lang w:val="en-US"/>
              </w:rPr>
              <w:t>4</w:t>
            </w:r>
            <w:r w:rsidRPr="000F4632">
              <w:rPr>
                <w:b/>
                <w:color w:val="000000"/>
                <w:szCs w:val="24"/>
                <w:lang w:val="en-US"/>
              </w:rPr>
              <w:t>00m</w:t>
            </w:r>
          </w:p>
        </w:tc>
        <w:tc>
          <w:tcPr>
            <w:tcW w:w="1671" w:type="dxa"/>
            <w:tcBorders>
              <w:top w:val="nil"/>
              <w:left w:val="single" w:sz="8" w:space="0" w:color="auto"/>
              <w:bottom w:val="single" w:sz="8" w:space="0" w:color="auto"/>
              <w:right w:val="single" w:sz="8" w:space="0" w:color="auto"/>
            </w:tcBorders>
            <w:shd w:val="clear" w:color="auto" w:fill="auto"/>
            <w:noWrap/>
            <w:vAlign w:val="bottom"/>
          </w:tcPr>
          <w:p w:rsidR="003A667B" w:rsidRPr="000F4632" w:rsidRDefault="003A667B" w:rsidP="006E4677">
            <w:pPr>
              <w:spacing w:after="0"/>
              <w:jc w:val="center"/>
              <w:rPr>
                <w:color w:val="000000"/>
                <w:szCs w:val="24"/>
                <w:lang w:val="en-US"/>
              </w:rPr>
            </w:pPr>
            <w:r w:rsidRPr="000F4632">
              <w:rPr>
                <w:b/>
                <w:color w:val="000000"/>
                <w:szCs w:val="24"/>
                <w:lang w:val="en-US"/>
              </w:rPr>
              <w:t xml:space="preserve">ISD = </w:t>
            </w:r>
            <w:r w:rsidR="00B467AD" w:rsidRPr="000F4632">
              <w:rPr>
                <w:b/>
                <w:color w:val="000000"/>
                <w:szCs w:val="24"/>
                <w:lang w:val="en-US"/>
              </w:rPr>
              <w:t>3</w:t>
            </w:r>
            <w:r w:rsidRPr="000F4632">
              <w:rPr>
                <w:b/>
                <w:color w:val="000000"/>
                <w:szCs w:val="24"/>
                <w:lang w:val="en-US"/>
              </w:rPr>
              <w:t>00m</w:t>
            </w:r>
          </w:p>
        </w:tc>
        <w:tc>
          <w:tcPr>
            <w:tcW w:w="1671" w:type="dxa"/>
            <w:tcBorders>
              <w:top w:val="nil"/>
              <w:left w:val="single" w:sz="8" w:space="0" w:color="auto"/>
              <w:bottom w:val="single" w:sz="8" w:space="0" w:color="auto"/>
              <w:right w:val="single" w:sz="8" w:space="0" w:color="auto"/>
            </w:tcBorders>
            <w:shd w:val="clear" w:color="auto" w:fill="auto"/>
            <w:vAlign w:val="bottom"/>
          </w:tcPr>
          <w:p w:rsidR="003A667B" w:rsidRPr="000F4632" w:rsidRDefault="003A667B" w:rsidP="006E4677">
            <w:pPr>
              <w:spacing w:after="0"/>
              <w:jc w:val="center"/>
              <w:rPr>
                <w:color w:val="000000"/>
                <w:szCs w:val="24"/>
                <w:lang w:val="en-US"/>
              </w:rPr>
            </w:pPr>
            <w:r w:rsidRPr="000F4632">
              <w:rPr>
                <w:b/>
                <w:color w:val="000000"/>
                <w:szCs w:val="24"/>
                <w:lang w:val="en-US"/>
              </w:rPr>
              <w:t xml:space="preserve">ISD = </w:t>
            </w:r>
            <w:r w:rsidR="00B467AD" w:rsidRPr="000F4632">
              <w:rPr>
                <w:b/>
                <w:color w:val="000000"/>
                <w:szCs w:val="24"/>
                <w:lang w:val="en-US"/>
              </w:rPr>
              <w:t>4</w:t>
            </w:r>
            <w:r w:rsidRPr="000F4632">
              <w:rPr>
                <w:b/>
                <w:color w:val="000000"/>
                <w:szCs w:val="24"/>
                <w:lang w:val="en-US"/>
              </w:rPr>
              <w:t>00m</w:t>
            </w:r>
          </w:p>
        </w:tc>
        <w:tc>
          <w:tcPr>
            <w:tcW w:w="236" w:type="dxa"/>
            <w:vAlign w:val="bottom"/>
          </w:tcPr>
          <w:p w:rsidR="003A667B" w:rsidRPr="000F4632" w:rsidRDefault="003A667B" w:rsidP="006E4677">
            <w:pPr>
              <w:spacing w:after="0"/>
            </w:pPr>
          </w:p>
        </w:tc>
      </w:tr>
      <w:tr w:rsidR="00B467AD" w:rsidRPr="000F4632" w:rsidTr="00D5293A">
        <w:trPr>
          <w:gridAfter w:val="1"/>
          <w:wAfter w:w="236" w:type="dxa"/>
          <w:trHeight w:val="251"/>
          <w:jc w:val="center"/>
        </w:trPr>
        <w:tc>
          <w:tcPr>
            <w:tcW w:w="3254" w:type="dxa"/>
            <w:tcBorders>
              <w:top w:val="nil"/>
              <w:left w:val="single" w:sz="8" w:space="0" w:color="auto"/>
              <w:bottom w:val="single" w:sz="8" w:space="0" w:color="auto"/>
              <w:right w:val="nil"/>
            </w:tcBorders>
            <w:shd w:val="clear" w:color="auto" w:fill="auto"/>
            <w:noWrap/>
            <w:vAlign w:val="bottom"/>
            <w:hideMark/>
          </w:tcPr>
          <w:p w:rsidR="00B467AD" w:rsidRPr="000F4632" w:rsidRDefault="00B467AD" w:rsidP="00B467AD">
            <w:pPr>
              <w:spacing w:after="0"/>
              <w:jc w:val="center"/>
              <w:rPr>
                <w:b/>
                <w:bCs/>
                <w:color w:val="000000"/>
                <w:szCs w:val="24"/>
                <w:lang w:val="en-US"/>
              </w:rPr>
            </w:pPr>
            <w:r w:rsidRPr="000F4632">
              <w:rPr>
                <w:b/>
                <w:bCs/>
                <w:color w:val="000000"/>
                <w:szCs w:val="24"/>
                <w:lang w:val="en-US"/>
              </w:rPr>
              <w:t>Classic – 0%</w:t>
            </w:r>
          </w:p>
        </w:tc>
        <w:tc>
          <w:tcPr>
            <w:tcW w:w="1407" w:type="dxa"/>
            <w:tcBorders>
              <w:top w:val="nil"/>
              <w:left w:val="single" w:sz="8" w:space="0" w:color="auto"/>
              <w:bottom w:val="single" w:sz="8" w:space="0" w:color="auto"/>
              <w:right w:val="single" w:sz="4" w:space="0" w:color="auto"/>
            </w:tcBorders>
            <w:shd w:val="clear" w:color="auto" w:fill="auto"/>
            <w:noWrap/>
            <w:vAlign w:val="bottom"/>
          </w:tcPr>
          <w:p w:rsidR="00B467AD" w:rsidRPr="000F4632" w:rsidRDefault="00B467AD" w:rsidP="00B467AD">
            <w:pPr>
              <w:spacing w:after="0"/>
              <w:jc w:val="center"/>
              <w:rPr>
                <w:color w:val="000000"/>
                <w:szCs w:val="24"/>
                <w:lang w:val="en-US"/>
              </w:rPr>
            </w:pPr>
            <w:r w:rsidRPr="000F4632">
              <w:rPr>
                <w:color w:val="000000"/>
                <w:szCs w:val="24"/>
                <w:lang w:val="en-US"/>
              </w:rPr>
              <w:t>6%</w:t>
            </w:r>
          </w:p>
        </w:tc>
        <w:tc>
          <w:tcPr>
            <w:tcW w:w="1407" w:type="dxa"/>
            <w:tcBorders>
              <w:top w:val="nil"/>
              <w:left w:val="single" w:sz="8" w:space="0" w:color="auto"/>
              <w:bottom w:val="single" w:sz="8" w:space="0" w:color="auto"/>
              <w:right w:val="single" w:sz="4" w:space="0" w:color="auto"/>
            </w:tcBorders>
            <w:shd w:val="clear" w:color="auto" w:fill="auto"/>
            <w:vAlign w:val="bottom"/>
          </w:tcPr>
          <w:p w:rsidR="00B467AD" w:rsidRPr="000F4632" w:rsidRDefault="00B467AD" w:rsidP="00B467AD">
            <w:pPr>
              <w:spacing w:after="0"/>
              <w:jc w:val="center"/>
              <w:rPr>
                <w:color w:val="000000"/>
                <w:szCs w:val="24"/>
                <w:lang w:val="en-US"/>
              </w:rPr>
            </w:pPr>
            <w:r w:rsidRPr="000F4632">
              <w:rPr>
                <w:color w:val="000000"/>
                <w:szCs w:val="24"/>
                <w:lang w:val="en-US"/>
              </w:rPr>
              <w:t>14%</w:t>
            </w:r>
          </w:p>
        </w:tc>
        <w:tc>
          <w:tcPr>
            <w:tcW w:w="1671" w:type="dxa"/>
            <w:tcBorders>
              <w:top w:val="nil"/>
              <w:left w:val="single" w:sz="8" w:space="0" w:color="auto"/>
              <w:bottom w:val="single" w:sz="8" w:space="0" w:color="auto"/>
              <w:right w:val="single" w:sz="8" w:space="0" w:color="auto"/>
            </w:tcBorders>
            <w:shd w:val="clear" w:color="auto" w:fill="auto"/>
            <w:noWrap/>
            <w:vAlign w:val="bottom"/>
          </w:tcPr>
          <w:p w:rsidR="00B467AD" w:rsidRPr="000F4632" w:rsidRDefault="00B467AD" w:rsidP="00B467AD">
            <w:pPr>
              <w:spacing w:after="0"/>
              <w:jc w:val="center"/>
              <w:rPr>
                <w:color w:val="000000"/>
                <w:szCs w:val="24"/>
                <w:lang w:val="en-US"/>
              </w:rPr>
            </w:pPr>
            <w:r w:rsidRPr="000F4632">
              <w:rPr>
                <w:color w:val="000000"/>
                <w:szCs w:val="24"/>
                <w:lang w:val="en-US"/>
              </w:rPr>
              <w:t>17%</w:t>
            </w:r>
          </w:p>
        </w:tc>
        <w:tc>
          <w:tcPr>
            <w:tcW w:w="1671" w:type="dxa"/>
            <w:tcBorders>
              <w:top w:val="nil"/>
              <w:left w:val="single" w:sz="8" w:space="0" w:color="auto"/>
              <w:bottom w:val="single" w:sz="8" w:space="0" w:color="auto"/>
              <w:right w:val="single" w:sz="8" w:space="0" w:color="auto"/>
            </w:tcBorders>
            <w:shd w:val="clear" w:color="auto" w:fill="auto"/>
            <w:vAlign w:val="bottom"/>
          </w:tcPr>
          <w:p w:rsidR="00B467AD" w:rsidRPr="000F4632" w:rsidRDefault="00B467AD" w:rsidP="00B467AD">
            <w:pPr>
              <w:spacing w:after="0"/>
              <w:jc w:val="center"/>
              <w:rPr>
                <w:color w:val="000000"/>
                <w:szCs w:val="24"/>
                <w:lang w:val="en-US"/>
              </w:rPr>
            </w:pPr>
            <w:r w:rsidRPr="000F4632">
              <w:rPr>
                <w:color w:val="000000"/>
                <w:szCs w:val="24"/>
                <w:lang w:val="en-US"/>
              </w:rPr>
              <w:t>26%</w:t>
            </w:r>
          </w:p>
        </w:tc>
      </w:tr>
      <w:tr w:rsidR="00B467AD" w:rsidRPr="000F4632" w:rsidTr="00D5293A">
        <w:trPr>
          <w:gridAfter w:val="1"/>
          <w:wAfter w:w="236" w:type="dxa"/>
          <w:trHeight w:val="251"/>
          <w:jc w:val="center"/>
        </w:trPr>
        <w:tc>
          <w:tcPr>
            <w:tcW w:w="3254" w:type="dxa"/>
            <w:tcBorders>
              <w:top w:val="nil"/>
              <w:left w:val="single" w:sz="8" w:space="0" w:color="auto"/>
              <w:bottom w:val="single" w:sz="4" w:space="0" w:color="auto"/>
              <w:right w:val="nil"/>
            </w:tcBorders>
            <w:shd w:val="clear" w:color="auto" w:fill="auto"/>
            <w:noWrap/>
            <w:vAlign w:val="bottom"/>
            <w:hideMark/>
          </w:tcPr>
          <w:p w:rsidR="00B467AD" w:rsidRPr="000F4632" w:rsidRDefault="00B467AD" w:rsidP="00B467AD">
            <w:pPr>
              <w:spacing w:after="0"/>
              <w:jc w:val="center"/>
              <w:rPr>
                <w:b/>
                <w:bCs/>
                <w:color w:val="000000"/>
                <w:szCs w:val="24"/>
                <w:lang w:val="en-US"/>
              </w:rPr>
            </w:pPr>
            <w:r w:rsidRPr="000F4632">
              <w:rPr>
                <w:b/>
                <w:bCs/>
                <w:color w:val="000000"/>
                <w:szCs w:val="24"/>
                <w:lang w:val="en-US"/>
              </w:rPr>
              <w:t>Flat – 0%</w:t>
            </w:r>
          </w:p>
        </w:tc>
        <w:tc>
          <w:tcPr>
            <w:tcW w:w="1407" w:type="dxa"/>
            <w:tcBorders>
              <w:top w:val="nil"/>
              <w:left w:val="single" w:sz="8" w:space="0" w:color="auto"/>
              <w:bottom w:val="single" w:sz="4" w:space="0" w:color="auto"/>
              <w:right w:val="single" w:sz="4" w:space="0" w:color="auto"/>
            </w:tcBorders>
            <w:shd w:val="clear" w:color="auto" w:fill="auto"/>
            <w:noWrap/>
            <w:vAlign w:val="bottom"/>
          </w:tcPr>
          <w:p w:rsidR="00B467AD" w:rsidRPr="000F4632" w:rsidRDefault="00B467AD" w:rsidP="00B467AD">
            <w:pPr>
              <w:spacing w:after="0"/>
              <w:jc w:val="center"/>
              <w:rPr>
                <w:color w:val="000000"/>
                <w:szCs w:val="24"/>
                <w:lang w:val="en-US"/>
              </w:rPr>
            </w:pPr>
            <w:r w:rsidRPr="000F4632">
              <w:rPr>
                <w:color w:val="000000"/>
                <w:szCs w:val="24"/>
                <w:lang w:val="en-US"/>
              </w:rPr>
              <w:t>15%</w:t>
            </w:r>
          </w:p>
        </w:tc>
        <w:tc>
          <w:tcPr>
            <w:tcW w:w="1407" w:type="dxa"/>
            <w:tcBorders>
              <w:top w:val="nil"/>
              <w:left w:val="single" w:sz="8" w:space="0" w:color="auto"/>
              <w:bottom w:val="single" w:sz="4" w:space="0" w:color="auto"/>
              <w:right w:val="single" w:sz="4" w:space="0" w:color="auto"/>
            </w:tcBorders>
            <w:shd w:val="clear" w:color="auto" w:fill="auto"/>
            <w:vAlign w:val="bottom"/>
          </w:tcPr>
          <w:p w:rsidR="00B467AD" w:rsidRPr="000F4632" w:rsidRDefault="00B467AD" w:rsidP="00B467AD">
            <w:pPr>
              <w:spacing w:after="0"/>
              <w:jc w:val="center"/>
              <w:rPr>
                <w:color w:val="000000"/>
                <w:szCs w:val="24"/>
                <w:lang w:val="en-US"/>
              </w:rPr>
            </w:pPr>
            <w:r w:rsidRPr="000F4632">
              <w:rPr>
                <w:color w:val="000000"/>
                <w:szCs w:val="24"/>
                <w:lang w:val="en-US"/>
              </w:rPr>
              <w:t>23%</w:t>
            </w:r>
          </w:p>
        </w:tc>
        <w:tc>
          <w:tcPr>
            <w:tcW w:w="1671" w:type="dxa"/>
            <w:tcBorders>
              <w:top w:val="nil"/>
              <w:left w:val="single" w:sz="8" w:space="0" w:color="auto"/>
              <w:bottom w:val="single" w:sz="4" w:space="0" w:color="auto"/>
              <w:right w:val="single" w:sz="8" w:space="0" w:color="auto"/>
            </w:tcBorders>
            <w:shd w:val="clear" w:color="auto" w:fill="auto"/>
            <w:noWrap/>
            <w:vAlign w:val="bottom"/>
          </w:tcPr>
          <w:p w:rsidR="00B467AD" w:rsidRPr="000F4632" w:rsidRDefault="00B467AD" w:rsidP="00B467AD">
            <w:pPr>
              <w:spacing w:after="0"/>
              <w:jc w:val="center"/>
              <w:rPr>
                <w:color w:val="000000"/>
                <w:szCs w:val="24"/>
                <w:lang w:val="en-US"/>
              </w:rPr>
            </w:pPr>
            <w:r w:rsidRPr="000F4632">
              <w:rPr>
                <w:color w:val="000000"/>
                <w:szCs w:val="24"/>
                <w:lang w:val="en-US"/>
              </w:rPr>
              <w:t>48%</w:t>
            </w:r>
          </w:p>
        </w:tc>
        <w:tc>
          <w:tcPr>
            <w:tcW w:w="1671" w:type="dxa"/>
            <w:tcBorders>
              <w:top w:val="nil"/>
              <w:left w:val="single" w:sz="8" w:space="0" w:color="auto"/>
              <w:bottom w:val="single" w:sz="4" w:space="0" w:color="auto"/>
              <w:right w:val="single" w:sz="8" w:space="0" w:color="auto"/>
            </w:tcBorders>
            <w:shd w:val="clear" w:color="auto" w:fill="auto"/>
            <w:vAlign w:val="bottom"/>
          </w:tcPr>
          <w:p w:rsidR="00B467AD" w:rsidRPr="000F4632" w:rsidRDefault="00B467AD" w:rsidP="00B467AD">
            <w:pPr>
              <w:spacing w:after="0"/>
              <w:jc w:val="center"/>
              <w:rPr>
                <w:color w:val="000000"/>
                <w:szCs w:val="24"/>
                <w:lang w:val="en-US"/>
              </w:rPr>
            </w:pPr>
            <w:r w:rsidRPr="000F4632">
              <w:rPr>
                <w:color w:val="000000"/>
                <w:szCs w:val="24"/>
                <w:lang w:val="en-US"/>
              </w:rPr>
              <w:t>60%</w:t>
            </w:r>
          </w:p>
        </w:tc>
      </w:tr>
      <w:tr w:rsidR="002C3C5A" w:rsidRPr="000F4632" w:rsidTr="00D5293A">
        <w:trPr>
          <w:gridAfter w:val="1"/>
          <w:wAfter w:w="236" w:type="dxa"/>
          <w:trHeight w:val="251"/>
          <w:jc w:val="center"/>
        </w:trPr>
        <w:tc>
          <w:tcPr>
            <w:tcW w:w="3254" w:type="dxa"/>
            <w:tcBorders>
              <w:top w:val="single" w:sz="4" w:space="0" w:color="auto"/>
              <w:left w:val="single" w:sz="8" w:space="0" w:color="auto"/>
              <w:bottom w:val="single" w:sz="4" w:space="0" w:color="auto"/>
              <w:right w:val="nil"/>
            </w:tcBorders>
            <w:shd w:val="clear" w:color="auto" w:fill="auto"/>
            <w:noWrap/>
            <w:vAlign w:val="bottom"/>
          </w:tcPr>
          <w:p w:rsidR="002C3C5A" w:rsidRPr="000F4632" w:rsidRDefault="002C3C5A" w:rsidP="002C3C5A">
            <w:pPr>
              <w:spacing w:after="0"/>
              <w:jc w:val="center"/>
              <w:rPr>
                <w:b/>
                <w:bCs/>
                <w:color w:val="000000"/>
                <w:szCs w:val="24"/>
                <w:lang w:val="en-US"/>
              </w:rPr>
            </w:pPr>
            <w:r w:rsidRPr="000F4632">
              <w:rPr>
                <w:b/>
                <w:bCs/>
                <w:color w:val="000000"/>
                <w:szCs w:val="24"/>
                <w:lang w:val="en-US"/>
              </w:rPr>
              <w:t>Classic – 20%</w:t>
            </w:r>
          </w:p>
        </w:tc>
        <w:tc>
          <w:tcPr>
            <w:tcW w:w="1407" w:type="dxa"/>
            <w:tcBorders>
              <w:top w:val="single" w:sz="4" w:space="0" w:color="auto"/>
              <w:left w:val="single" w:sz="8" w:space="0" w:color="auto"/>
              <w:bottom w:val="single" w:sz="4" w:space="0" w:color="auto"/>
              <w:right w:val="single" w:sz="4" w:space="0" w:color="auto"/>
            </w:tcBorders>
            <w:shd w:val="clear" w:color="auto" w:fill="auto"/>
            <w:noWrap/>
            <w:vAlign w:val="bottom"/>
          </w:tcPr>
          <w:p w:rsidR="002C3C5A" w:rsidRPr="000F4632" w:rsidRDefault="002C3C5A" w:rsidP="002C3C5A">
            <w:pPr>
              <w:spacing w:after="0"/>
              <w:jc w:val="center"/>
              <w:rPr>
                <w:color w:val="000000"/>
                <w:szCs w:val="24"/>
                <w:lang w:val="en-US"/>
              </w:rPr>
            </w:pPr>
            <w:r w:rsidRPr="000F4632">
              <w:rPr>
                <w:color w:val="000000"/>
                <w:szCs w:val="24"/>
                <w:lang w:val="en-US"/>
              </w:rPr>
              <w:t>13%</w:t>
            </w:r>
          </w:p>
        </w:tc>
        <w:tc>
          <w:tcPr>
            <w:tcW w:w="1407" w:type="dxa"/>
            <w:tcBorders>
              <w:top w:val="single" w:sz="4" w:space="0" w:color="auto"/>
              <w:left w:val="single" w:sz="8" w:space="0" w:color="auto"/>
              <w:bottom w:val="single" w:sz="4" w:space="0" w:color="auto"/>
              <w:right w:val="single" w:sz="4" w:space="0" w:color="auto"/>
            </w:tcBorders>
            <w:shd w:val="clear" w:color="auto" w:fill="auto"/>
            <w:vAlign w:val="bottom"/>
          </w:tcPr>
          <w:p w:rsidR="002C3C5A" w:rsidRPr="000F4632" w:rsidRDefault="002C3C5A" w:rsidP="002C3C5A">
            <w:pPr>
              <w:spacing w:after="0"/>
              <w:jc w:val="center"/>
              <w:rPr>
                <w:color w:val="000000"/>
                <w:szCs w:val="24"/>
                <w:lang w:val="en-US"/>
              </w:rPr>
            </w:pPr>
            <w:r w:rsidRPr="000F4632">
              <w:rPr>
                <w:color w:val="000000"/>
                <w:szCs w:val="24"/>
                <w:lang w:val="en-US"/>
              </w:rPr>
              <w:t>15%</w:t>
            </w:r>
          </w:p>
        </w:tc>
        <w:tc>
          <w:tcPr>
            <w:tcW w:w="1671" w:type="dxa"/>
            <w:tcBorders>
              <w:top w:val="single" w:sz="4" w:space="0" w:color="auto"/>
              <w:left w:val="single" w:sz="8" w:space="0" w:color="auto"/>
              <w:bottom w:val="single" w:sz="4" w:space="0" w:color="auto"/>
              <w:right w:val="single" w:sz="8" w:space="0" w:color="auto"/>
            </w:tcBorders>
            <w:shd w:val="clear" w:color="auto" w:fill="auto"/>
            <w:noWrap/>
            <w:vAlign w:val="bottom"/>
          </w:tcPr>
          <w:p w:rsidR="002C3C5A" w:rsidRPr="000F4632" w:rsidRDefault="002C3C5A" w:rsidP="002C3C5A">
            <w:pPr>
              <w:spacing w:after="0"/>
              <w:jc w:val="center"/>
              <w:rPr>
                <w:color w:val="000000"/>
                <w:szCs w:val="24"/>
                <w:lang w:val="en-US"/>
              </w:rPr>
            </w:pPr>
            <w:r w:rsidRPr="000F4632">
              <w:rPr>
                <w:color w:val="000000"/>
                <w:szCs w:val="24"/>
                <w:lang w:val="en-US"/>
              </w:rPr>
              <w:t>65%</w:t>
            </w:r>
          </w:p>
        </w:tc>
        <w:tc>
          <w:tcPr>
            <w:tcW w:w="1671" w:type="dxa"/>
            <w:tcBorders>
              <w:top w:val="single" w:sz="4" w:space="0" w:color="auto"/>
              <w:left w:val="single" w:sz="8" w:space="0" w:color="auto"/>
              <w:bottom w:val="single" w:sz="4" w:space="0" w:color="auto"/>
              <w:right w:val="single" w:sz="8" w:space="0" w:color="auto"/>
            </w:tcBorders>
            <w:shd w:val="clear" w:color="auto" w:fill="auto"/>
            <w:vAlign w:val="bottom"/>
          </w:tcPr>
          <w:p w:rsidR="002C3C5A" w:rsidRPr="000F4632" w:rsidRDefault="002C3C5A" w:rsidP="002C3C5A">
            <w:pPr>
              <w:spacing w:after="0"/>
              <w:jc w:val="center"/>
              <w:rPr>
                <w:color w:val="000000"/>
                <w:szCs w:val="24"/>
                <w:lang w:val="en-US"/>
              </w:rPr>
            </w:pPr>
            <w:r w:rsidRPr="000F4632">
              <w:rPr>
                <w:color w:val="000000"/>
                <w:szCs w:val="24"/>
                <w:lang w:val="en-US"/>
              </w:rPr>
              <w:t>72%</w:t>
            </w:r>
          </w:p>
        </w:tc>
      </w:tr>
      <w:tr w:rsidR="002C3C5A" w:rsidRPr="000F4632" w:rsidTr="00D5293A">
        <w:trPr>
          <w:gridAfter w:val="1"/>
          <w:wAfter w:w="236" w:type="dxa"/>
          <w:trHeight w:val="251"/>
          <w:jc w:val="center"/>
        </w:trPr>
        <w:tc>
          <w:tcPr>
            <w:tcW w:w="3254" w:type="dxa"/>
            <w:tcBorders>
              <w:top w:val="single" w:sz="4" w:space="0" w:color="auto"/>
              <w:left w:val="single" w:sz="8" w:space="0" w:color="auto"/>
              <w:bottom w:val="single" w:sz="4" w:space="0" w:color="auto"/>
              <w:right w:val="nil"/>
            </w:tcBorders>
            <w:shd w:val="clear" w:color="auto" w:fill="auto"/>
            <w:noWrap/>
            <w:vAlign w:val="bottom"/>
          </w:tcPr>
          <w:p w:rsidR="002C3C5A" w:rsidRPr="000F4632" w:rsidRDefault="002C3C5A" w:rsidP="002C3C5A">
            <w:pPr>
              <w:spacing w:after="0"/>
              <w:jc w:val="center"/>
              <w:rPr>
                <w:b/>
                <w:bCs/>
                <w:color w:val="000000"/>
                <w:szCs w:val="24"/>
                <w:lang w:val="en-US"/>
              </w:rPr>
            </w:pPr>
            <w:r w:rsidRPr="000F4632">
              <w:rPr>
                <w:b/>
                <w:bCs/>
                <w:color w:val="000000"/>
                <w:szCs w:val="24"/>
                <w:lang w:val="en-US"/>
              </w:rPr>
              <w:t>Flat – 20%</w:t>
            </w:r>
          </w:p>
        </w:tc>
        <w:tc>
          <w:tcPr>
            <w:tcW w:w="1407" w:type="dxa"/>
            <w:tcBorders>
              <w:top w:val="single" w:sz="4" w:space="0" w:color="auto"/>
              <w:left w:val="single" w:sz="8" w:space="0" w:color="auto"/>
              <w:bottom w:val="single" w:sz="4" w:space="0" w:color="auto"/>
              <w:right w:val="single" w:sz="4" w:space="0" w:color="auto"/>
            </w:tcBorders>
            <w:shd w:val="clear" w:color="auto" w:fill="auto"/>
            <w:noWrap/>
            <w:vAlign w:val="bottom"/>
          </w:tcPr>
          <w:p w:rsidR="002C3C5A" w:rsidRPr="000F4632" w:rsidRDefault="002C3C5A" w:rsidP="002C3C5A">
            <w:pPr>
              <w:spacing w:after="0"/>
              <w:jc w:val="center"/>
              <w:rPr>
                <w:color w:val="000000"/>
                <w:szCs w:val="24"/>
                <w:lang w:val="en-US"/>
              </w:rPr>
            </w:pPr>
            <w:r w:rsidRPr="000F4632">
              <w:rPr>
                <w:color w:val="000000"/>
                <w:szCs w:val="24"/>
                <w:lang w:val="en-US"/>
              </w:rPr>
              <w:t>23%</w:t>
            </w:r>
          </w:p>
        </w:tc>
        <w:tc>
          <w:tcPr>
            <w:tcW w:w="1407" w:type="dxa"/>
            <w:tcBorders>
              <w:top w:val="single" w:sz="4" w:space="0" w:color="auto"/>
              <w:left w:val="single" w:sz="8" w:space="0" w:color="auto"/>
              <w:bottom w:val="single" w:sz="4" w:space="0" w:color="auto"/>
              <w:right w:val="single" w:sz="4" w:space="0" w:color="auto"/>
            </w:tcBorders>
            <w:shd w:val="clear" w:color="auto" w:fill="auto"/>
            <w:vAlign w:val="bottom"/>
          </w:tcPr>
          <w:p w:rsidR="002C3C5A" w:rsidRPr="000F4632" w:rsidRDefault="002C3C5A" w:rsidP="002C3C5A">
            <w:pPr>
              <w:spacing w:after="0"/>
              <w:jc w:val="center"/>
              <w:rPr>
                <w:color w:val="000000"/>
                <w:szCs w:val="24"/>
                <w:lang w:val="en-US"/>
              </w:rPr>
            </w:pPr>
            <w:r w:rsidRPr="000F4632">
              <w:rPr>
                <w:color w:val="000000"/>
                <w:szCs w:val="24"/>
                <w:lang w:val="en-US"/>
              </w:rPr>
              <w:t>25%</w:t>
            </w:r>
          </w:p>
        </w:tc>
        <w:tc>
          <w:tcPr>
            <w:tcW w:w="1671" w:type="dxa"/>
            <w:tcBorders>
              <w:top w:val="single" w:sz="4" w:space="0" w:color="auto"/>
              <w:left w:val="single" w:sz="8" w:space="0" w:color="auto"/>
              <w:bottom w:val="single" w:sz="4" w:space="0" w:color="auto"/>
              <w:right w:val="single" w:sz="8" w:space="0" w:color="auto"/>
            </w:tcBorders>
            <w:shd w:val="clear" w:color="auto" w:fill="auto"/>
            <w:noWrap/>
            <w:vAlign w:val="bottom"/>
          </w:tcPr>
          <w:p w:rsidR="002C3C5A" w:rsidRPr="000F4632" w:rsidRDefault="002C3C5A" w:rsidP="002C3C5A">
            <w:pPr>
              <w:spacing w:after="0"/>
              <w:jc w:val="center"/>
              <w:rPr>
                <w:color w:val="000000"/>
                <w:szCs w:val="24"/>
                <w:lang w:val="en-US"/>
              </w:rPr>
            </w:pPr>
            <w:r w:rsidRPr="000F4632">
              <w:rPr>
                <w:color w:val="000000"/>
                <w:szCs w:val="24"/>
                <w:lang w:val="en-US"/>
              </w:rPr>
              <w:t>87%</w:t>
            </w:r>
          </w:p>
        </w:tc>
        <w:tc>
          <w:tcPr>
            <w:tcW w:w="1671" w:type="dxa"/>
            <w:tcBorders>
              <w:top w:val="single" w:sz="4" w:space="0" w:color="auto"/>
              <w:left w:val="single" w:sz="8" w:space="0" w:color="auto"/>
              <w:bottom w:val="single" w:sz="4" w:space="0" w:color="auto"/>
              <w:right w:val="single" w:sz="8" w:space="0" w:color="auto"/>
            </w:tcBorders>
            <w:shd w:val="clear" w:color="auto" w:fill="auto"/>
            <w:vAlign w:val="bottom"/>
          </w:tcPr>
          <w:p w:rsidR="002C3C5A" w:rsidRPr="000F4632" w:rsidRDefault="002C3C5A" w:rsidP="002C3C5A">
            <w:pPr>
              <w:spacing w:after="0"/>
              <w:jc w:val="center"/>
              <w:rPr>
                <w:color w:val="000000"/>
                <w:szCs w:val="24"/>
                <w:lang w:val="en-US"/>
              </w:rPr>
            </w:pPr>
            <w:r w:rsidRPr="000F4632">
              <w:rPr>
                <w:color w:val="000000"/>
                <w:szCs w:val="24"/>
                <w:lang w:val="en-US"/>
              </w:rPr>
              <w:t>100%</w:t>
            </w:r>
          </w:p>
        </w:tc>
      </w:tr>
    </w:tbl>
    <w:p w:rsidR="003A667B" w:rsidRPr="004E6DA4" w:rsidRDefault="003A667B" w:rsidP="004E6DA4">
      <w:pPr>
        <w:jc w:val="both"/>
        <w:rPr>
          <w:b/>
          <w:i/>
          <w:lang w:val="en-US"/>
        </w:rPr>
      </w:pPr>
    </w:p>
    <w:p w:rsidR="001B03AB" w:rsidRDefault="006D5085" w:rsidP="00AA7466">
      <w:pPr>
        <w:jc w:val="center"/>
      </w:pPr>
      <w:r w:rsidRPr="006D5085">
        <w:rPr>
          <w:noProof/>
        </w:rPr>
        <w:lastRenderedPageBreak/>
        <w:drawing>
          <wp:inline distT="0" distB="0" distL="0" distR="0" wp14:anchorId="4130541A" wp14:editId="345E93DF">
            <wp:extent cx="4882896" cy="3657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1B03AB" w:rsidRDefault="001B03AB" w:rsidP="00765F17">
      <w:pPr>
        <w:pStyle w:val="Caption"/>
        <w:jc w:val="center"/>
      </w:pPr>
      <w:bookmarkStart w:id="20" w:name="_Ref503433782"/>
      <w:r>
        <w:t xml:space="preserve">Figure </w:t>
      </w:r>
      <w:r w:rsidR="000B4DA9">
        <w:fldChar w:fldCharType="begin"/>
      </w:r>
      <w:r w:rsidR="000B4DA9">
        <w:instrText xml:space="preserve"> SEQ Figure \* ARABIC </w:instrText>
      </w:r>
      <w:r w:rsidR="000B4DA9">
        <w:fldChar w:fldCharType="separate"/>
      </w:r>
      <w:r w:rsidR="007C5FAC">
        <w:rPr>
          <w:noProof/>
        </w:rPr>
        <w:t>11</w:t>
      </w:r>
      <w:r w:rsidR="000B4DA9">
        <w:fldChar w:fldCharType="end"/>
      </w:r>
      <w:bookmarkEnd w:id="20"/>
      <w:r>
        <w:t xml:space="preserve">. </w:t>
      </w:r>
      <w:r w:rsidR="007D3C53" w:rsidRPr="00080CEA">
        <w:t xml:space="preserve">SINR CDF comparison in </w:t>
      </w:r>
      <w:proofErr w:type="spellStart"/>
      <w:r w:rsidR="007D3C53" w:rsidRPr="00080CEA">
        <w:t>UM</w:t>
      </w:r>
      <w:r w:rsidR="007D3C53">
        <w:t>a</w:t>
      </w:r>
      <w:proofErr w:type="spellEnd"/>
      <w:r w:rsidR="007D3C53" w:rsidRPr="00080CEA">
        <w:t xml:space="preserve"> - </w:t>
      </w:r>
      <w:r w:rsidR="007D3C53">
        <w:t>D</w:t>
      </w:r>
      <w:r w:rsidR="007D3C53" w:rsidRPr="00080CEA">
        <w:t xml:space="preserve">L - between spherical and semi-spherical coverage either for Classic approach (continuous line) and Flat approach (dashed line) – </w:t>
      </w:r>
      <w:r w:rsidR="007D3C53">
        <w:t>all</w:t>
      </w:r>
      <w:r w:rsidR="007D3C53" w:rsidRPr="00080CEA">
        <w:t xml:space="preserve"> UEs are </w:t>
      </w:r>
      <w:r w:rsidR="007D3C53">
        <w:t>outdoor</w:t>
      </w:r>
      <w:r w:rsidR="007D3C53" w:rsidRPr="00080CEA">
        <w:t xml:space="preserve"> – ISD = </w:t>
      </w:r>
      <w:r w:rsidR="00B42DE0">
        <w:t>300m.</w:t>
      </w:r>
    </w:p>
    <w:p w:rsidR="001B03AB" w:rsidRDefault="001B03AB" w:rsidP="001B03AB">
      <w:pPr>
        <w:keepNext/>
        <w:jc w:val="center"/>
      </w:pPr>
    </w:p>
    <w:p w:rsidR="006D5085" w:rsidRDefault="006D5085" w:rsidP="001B03AB">
      <w:pPr>
        <w:keepNext/>
        <w:jc w:val="center"/>
      </w:pPr>
      <w:r w:rsidRPr="006D5085">
        <w:rPr>
          <w:noProof/>
        </w:rPr>
        <w:drawing>
          <wp:inline distT="0" distB="0" distL="0" distR="0" wp14:anchorId="16835EBA" wp14:editId="1AEA3510">
            <wp:extent cx="4882896" cy="3657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1B03AB" w:rsidRDefault="001B03AB" w:rsidP="001B03AB">
      <w:pPr>
        <w:pStyle w:val="Caption"/>
        <w:jc w:val="center"/>
      </w:pPr>
      <w:bookmarkStart w:id="21" w:name="_Ref503433826"/>
      <w:r>
        <w:t xml:space="preserve">Figure </w:t>
      </w:r>
      <w:r w:rsidR="000B4DA9">
        <w:fldChar w:fldCharType="begin"/>
      </w:r>
      <w:r w:rsidR="000B4DA9">
        <w:instrText xml:space="preserve"> SEQ Figure \* ARABIC </w:instrText>
      </w:r>
      <w:r w:rsidR="000B4DA9">
        <w:fldChar w:fldCharType="separate"/>
      </w:r>
      <w:r w:rsidR="007C5FAC">
        <w:rPr>
          <w:noProof/>
        </w:rPr>
        <w:t>12</w:t>
      </w:r>
      <w:r w:rsidR="000B4DA9">
        <w:fldChar w:fldCharType="end"/>
      </w:r>
      <w:bookmarkEnd w:id="21"/>
      <w:r>
        <w:t xml:space="preserve">. </w:t>
      </w:r>
      <w:r w:rsidR="007D3C53" w:rsidRPr="00080CEA">
        <w:t xml:space="preserve">SINR CDF comparison in </w:t>
      </w:r>
      <w:proofErr w:type="spellStart"/>
      <w:r w:rsidR="007D3C53" w:rsidRPr="00080CEA">
        <w:t>UM</w:t>
      </w:r>
      <w:r w:rsidR="007D3C53">
        <w:t>a</w:t>
      </w:r>
      <w:proofErr w:type="spellEnd"/>
      <w:r w:rsidR="007D3C53" w:rsidRPr="00080CEA">
        <w:t xml:space="preserve"> - </w:t>
      </w:r>
      <w:r w:rsidR="007D3C53">
        <w:t>D</w:t>
      </w:r>
      <w:r w:rsidR="007D3C53" w:rsidRPr="00080CEA">
        <w:t xml:space="preserve">L - between spherical and semi-spherical coverage either for Classic approach (continuous line) and Flat approach (dashed line) – </w:t>
      </w:r>
      <w:r w:rsidR="007D3C53">
        <w:t>all</w:t>
      </w:r>
      <w:r w:rsidR="007D3C53" w:rsidRPr="00080CEA">
        <w:t xml:space="preserve"> UEs are </w:t>
      </w:r>
      <w:r w:rsidR="007D3C53">
        <w:t>outdoor</w:t>
      </w:r>
      <w:r w:rsidR="007D3C53" w:rsidRPr="00080CEA">
        <w:t xml:space="preserve"> – ISD = </w:t>
      </w:r>
      <w:r w:rsidR="006D5085">
        <w:t>4</w:t>
      </w:r>
      <w:r w:rsidR="007D3C53" w:rsidRPr="00080CEA">
        <w:t>00m</w:t>
      </w:r>
      <w:r w:rsidR="00B42DE0">
        <w:t>.</w:t>
      </w:r>
    </w:p>
    <w:p w:rsidR="00BC5BA0" w:rsidRDefault="00BC5BA0" w:rsidP="00765F17"/>
    <w:p w:rsidR="00692905" w:rsidRDefault="00692905" w:rsidP="00692905">
      <w:pPr>
        <w:keepNext/>
        <w:jc w:val="center"/>
      </w:pPr>
      <w:r w:rsidRPr="00692905">
        <w:rPr>
          <w:noProof/>
        </w:rPr>
        <w:lastRenderedPageBreak/>
        <w:drawing>
          <wp:inline distT="0" distB="0" distL="0" distR="0" wp14:anchorId="69D14202" wp14:editId="3604AD18">
            <wp:extent cx="4882896" cy="3657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6D5085" w:rsidRDefault="00692905" w:rsidP="00692905">
      <w:pPr>
        <w:pStyle w:val="Caption"/>
        <w:jc w:val="center"/>
      </w:pPr>
      <w:bookmarkStart w:id="22" w:name="_Ref503606803"/>
      <w:r>
        <w:t xml:space="preserve">Figure </w:t>
      </w:r>
      <w:r>
        <w:fldChar w:fldCharType="begin"/>
      </w:r>
      <w:r>
        <w:instrText xml:space="preserve"> SEQ Figure \* ARABIC </w:instrText>
      </w:r>
      <w:r>
        <w:fldChar w:fldCharType="separate"/>
      </w:r>
      <w:r w:rsidR="007C5FAC">
        <w:rPr>
          <w:noProof/>
        </w:rPr>
        <w:t>13</w:t>
      </w:r>
      <w:r>
        <w:fldChar w:fldCharType="end"/>
      </w:r>
      <w:bookmarkEnd w:id="22"/>
      <w:r>
        <w:t xml:space="preserve">. </w:t>
      </w:r>
      <w:r w:rsidRPr="00080CEA">
        <w:t xml:space="preserve">SINR CDF comparison in </w:t>
      </w:r>
      <w:proofErr w:type="spellStart"/>
      <w:r w:rsidRPr="00080CEA">
        <w:t>UM</w:t>
      </w:r>
      <w:r>
        <w:t>a</w:t>
      </w:r>
      <w:proofErr w:type="spellEnd"/>
      <w:r w:rsidRPr="00080CEA">
        <w:t xml:space="preserve"> - </w:t>
      </w:r>
      <w:r>
        <w:t>D</w:t>
      </w:r>
      <w:r w:rsidRPr="00080CEA">
        <w:t xml:space="preserve">L - between spherical and semi-spherical coverage either for Classic approach (continuous line) and Flat approach (dashed line) – </w:t>
      </w:r>
      <w:r>
        <w:t>20% of</w:t>
      </w:r>
      <w:r w:rsidRPr="00080CEA">
        <w:t xml:space="preserve"> UEs are </w:t>
      </w:r>
      <w:r>
        <w:t>indoor</w:t>
      </w:r>
      <w:r w:rsidRPr="00080CEA">
        <w:t xml:space="preserve"> – ISD = </w:t>
      </w:r>
      <w:r>
        <w:t>3</w:t>
      </w:r>
      <w:r w:rsidRPr="00080CEA">
        <w:t>00</w:t>
      </w:r>
      <w:r w:rsidR="007D0E83">
        <w:t>m.</w:t>
      </w:r>
    </w:p>
    <w:p w:rsidR="00692905" w:rsidRDefault="00692905" w:rsidP="00692905"/>
    <w:p w:rsidR="00692905" w:rsidRDefault="00692905" w:rsidP="00692905">
      <w:pPr>
        <w:keepNext/>
        <w:jc w:val="center"/>
      </w:pPr>
      <w:r w:rsidRPr="00692905">
        <w:rPr>
          <w:noProof/>
        </w:rPr>
        <w:drawing>
          <wp:inline distT="0" distB="0" distL="0" distR="0" wp14:anchorId="64AFF887" wp14:editId="4256FD56">
            <wp:extent cx="4882896" cy="3657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692905" w:rsidRPr="00692905" w:rsidRDefault="00692905" w:rsidP="00692905">
      <w:pPr>
        <w:pStyle w:val="Caption"/>
        <w:jc w:val="center"/>
      </w:pPr>
      <w:bookmarkStart w:id="23" w:name="_Ref503606806"/>
      <w:r>
        <w:t xml:space="preserve">Figure </w:t>
      </w:r>
      <w:r>
        <w:fldChar w:fldCharType="begin"/>
      </w:r>
      <w:r>
        <w:instrText xml:space="preserve"> SEQ Figure \* ARABIC </w:instrText>
      </w:r>
      <w:r>
        <w:fldChar w:fldCharType="separate"/>
      </w:r>
      <w:r w:rsidR="007C5FAC">
        <w:rPr>
          <w:noProof/>
        </w:rPr>
        <w:t>14</w:t>
      </w:r>
      <w:r>
        <w:fldChar w:fldCharType="end"/>
      </w:r>
      <w:bookmarkEnd w:id="23"/>
      <w:r>
        <w:t xml:space="preserve">. </w:t>
      </w:r>
      <w:r w:rsidRPr="00080CEA">
        <w:t xml:space="preserve">SINR CDF comparison in </w:t>
      </w:r>
      <w:proofErr w:type="spellStart"/>
      <w:r w:rsidRPr="00080CEA">
        <w:t>UM</w:t>
      </w:r>
      <w:r>
        <w:t>a</w:t>
      </w:r>
      <w:proofErr w:type="spellEnd"/>
      <w:r w:rsidRPr="00080CEA">
        <w:t xml:space="preserve"> - </w:t>
      </w:r>
      <w:r>
        <w:t>D</w:t>
      </w:r>
      <w:r w:rsidRPr="00080CEA">
        <w:t xml:space="preserve">L - between spherical and semi-spherical coverage either for Classic approach (continuous line) and Flat approach (dashed line) – </w:t>
      </w:r>
      <w:r>
        <w:t>20% of</w:t>
      </w:r>
      <w:r w:rsidRPr="00080CEA">
        <w:t xml:space="preserve"> UEs are </w:t>
      </w:r>
      <w:r>
        <w:t>indoor</w:t>
      </w:r>
      <w:r w:rsidRPr="00080CEA">
        <w:t xml:space="preserve"> – ISD = </w:t>
      </w:r>
      <w:r>
        <w:t>4</w:t>
      </w:r>
      <w:r w:rsidRPr="00080CEA">
        <w:t>00 m</w:t>
      </w:r>
    </w:p>
    <w:p w:rsidR="00692905" w:rsidRDefault="00692905" w:rsidP="00765F17"/>
    <w:p w:rsidR="00742562" w:rsidRDefault="00742562" w:rsidP="00742562">
      <w:pPr>
        <w:pStyle w:val="Heading3"/>
        <w:numPr>
          <w:ilvl w:val="3"/>
          <w:numId w:val="41"/>
        </w:numPr>
        <w:rPr>
          <w:lang w:val="en-US"/>
        </w:rPr>
      </w:pPr>
      <w:proofErr w:type="spellStart"/>
      <w:r>
        <w:rPr>
          <w:lang w:val="en-US"/>
        </w:rPr>
        <w:lastRenderedPageBreak/>
        <w:t>UMa</w:t>
      </w:r>
      <w:proofErr w:type="spellEnd"/>
      <w:r>
        <w:rPr>
          <w:lang w:val="en-US"/>
        </w:rPr>
        <w:t xml:space="preserve"> UL</w:t>
      </w:r>
    </w:p>
    <w:p w:rsidR="00742562" w:rsidRPr="007D3C53" w:rsidRDefault="00742562" w:rsidP="00742562">
      <w:pPr>
        <w:rPr>
          <w:lang w:val="en-US"/>
        </w:rPr>
      </w:pPr>
      <w:r>
        <w:rPr>
          <w:lang w:val="en-US"/>
        </w:rPr>
        <w:fldChar w:fldCharType="begin"/>
      </w:r>
      <w:r>
        <w:rPr>
          <w:lang w:val="en-US"/>
        </w:rPr>
        <w:instrText xml:space="preserve"> REF _Ref503433782 \h </w:instrText>
      </w:r>
      <w:r>
        <w:rPr>
          <w:lang w:val="en-US"/>
        </w:rPr>
      </w:r>
      <w:r>
        <w:rPr>
          <w:lang w:val="en-US"/>
        </w:rPr>
        <w:fldChar w:fldCharType="separate"/>
      </w:r>
      <w:r w:rsidR="007C5FAC">
        <w:t xml:space="preserve">Figure </w:t>
      </w:r>
      <w:r w:rsidR="007C5FAC">
        <w:rPr>
          <w:noProof/>
        </w:rPr>
        <w:t>11</w:t>
      </w:r>
      <w:r>
        <w:rPr>
          <w:lang w:val="en-US"/>
        </w:rPr>
        <w:fldChar w:fldCharType="end"/>
      </w:r>
      <w:r w:rsidRPr="007D3C53">
        <w:rPr>
          <w:lang w:val="en-US"/>
        </w:rPr>
        <w:t xml:space="preserve"> and </w:t>
      </w:r>
      <w:r>
        <w:rPr>
          <w:lang w:val="en-US"/>
        </w:rPr>
        <w:fldChar w:fldCharType="begin"/>
      </w:r>
      <w:r>
        <w:rPr>
          <w:lang w:val="en-US"/>
        </w:rPr>
        <w:instrText xml:space="preserve"> REF _Ref503433826 \h </w:instrText>
      </w:r>
      <w:r>
        <w:rPr>
          <w:lang w:val="en-US"/>
        </w:rPr>
      </w:r>
      <w:r>
        <w:rPr>
          <w:lang w:val="en-US"/>
        </w:rPr>
        <w:fldChar w:fldCharType="separate"/>
      </w:r>
      <w:r w:rsidR="007C5FAC">
        <w:t xml:space="preserve">Figure </w:t>
      </w:r>
      <w:r w:rsidR="007C5FAC">
        <w:rPr>
          <w:noProof/>
        </w:rPr>
        <w:t>12</w:t>
      </w:r>
      <w:r>
        <w:rPr>
          <w:lang w:val="en-US"/>
        </w:rPr>
        <w:fldChar w:fldCharType="end"/>
      </w:r>
      <w:r>
        <w:rPr>
          <w:lang w:val="en-US"/>
        </w:rPr>
        <w:t xml:space="preserve"> </w:t>
      </w:r>
      <w:r w:rsidRPr="007D3C53">
        <w:rPr>
          <w:lang w:val="en-US"/>
        </w:rPr>
        <w:t xml:space="preserve">show a comparison between SINR CDFs for </w:t>
      </w:r>
      <w:proofErr w:type="spellStart"/>
      <w:r w:rsidRPr="007D3C53">
        <w:rPr>
          <w:lang w:val="en-US"/>
        </w:rPr>
        <w:t>UM</w:t>
      </w:r>
      <w:r>
        <w:rPr>
          <w:lang w:val="en-US"/>
        </w:rPr>
        <w:t>a</w:t>
      </w:r>
      <w:proofErr w:type="spellEnd"/>
      <w:r w:rsidRPr="007D3C53">
        <w:rPr>
          <w:lang w:val="en-US"/>
        </w:rPr>
        <w:t xml:space="preserve"> </w:t>
      </w:r>
      <w:r>
        <w:rPr>
          <w:lang w:val="en-US"/>
        </w:rPr>
        <w:t>U</w:t>
      </w:r>
      <w:r w:rsidRPr="007D3C53">
        <w:rPr>
          <w:lang w:val="en-US"/>
        </w:rPr>
        <w:t xml:space="preserve">L for </w:t>
      </w:r>
      <w:r w:rsidR="00B42DE0">
        <w:rPr>
          <w:lang w:val="en-US"/>
        </w:rPr>
        <w:t xml:space="preserve">300m </w:t>
      </w:r>
      <w:r w:rsidRPr="007D3C53">
        <w:rPr>
          <w:lang w:val="en-US"/>
        </w:rPr>
        <w:t xml:space="preserve">and </w:t>
      </w:r>
      <w:r w:rsidR="00B42DE0">
        <w:rPr>
          <w:lang w:val="en-US"/>
        </w:rPr>
        <w:t xml:space="preserve">400m </w:t>
      </w:r>
      <w:r w:rsidRPr="007D3C53">
        <w:rPr>
          <w:lang w:val="en-US"/>
        </w:rPr>
        <w:t xml:space="preserve">ISD, respectively, when all UEs are assumed to be outdoor. </w:t>
      </w:r>
      <w:r>
        <w:rPr>
          <w:lang w:val="en-US"/>
        </w:rPr>
        <w:fldChar w:fldCharType="begin"/>
      </w:r>
      <w:r>
        <w:rPr>
          <w:lang w:val="en-US"/>
        </w:rPr>
        <w:instrText xml:space="preserve"> REF _Ref503606803 \h </w:instrText>
      </w:r>
      <w:r>
        <w:rPr>
          <w:lang w:val="en-US"/>
        </w:rPr>
      </w:r>
      <w:r>
        <w:rPr>
          <w:lang w:val="en-US"/>
        </w:rPr>
        <w:fldChar w:fldCharType="separate"/>
      </w:r>
      <w:r w:rsidR="007C5FAC">
        <w:t xml:space="preserve">Figure </w:t>
      </w:r>
      <w:r w:rsidR="007C5FAC">
        <w:rPr>
          <w:noProof/>
        </w:rPr>
        <w:t>13</w:t>
      </w:r>
      <w:r>
        <w:rPr>
          <w:lang w:val="en-US"/>
        </w:rPr>
        <w:fldChar w:fldCharType="end"/>
      </w:r>
      <w:r>
        <w:rPr>
          <w:lang w:val="en-US"/>
        </w:rPr>
        <w:t xml:space="preserve"> and </w:t>
      </w:r>
      <w:r>
        <w:rPr>
          <w:lang w:val="en-US"/>
        </w:rPr>
        <w:fldChar w:fldCharType="begin"/>
      </w:r>
      <w:r>
        <w:rPr>
          <w:lang w:val="en-US"/>
        </w:rPr>
        <w:instrText xml:space="preserve"> REF _Ref503606806 \h </w:instrText>
      </w:r>
      <w:r>
        <w:rPr>
          <w:lang w:val="en-US"/>
        </w:rPr>
      </w:r>
      <w:r>
        <w:rPr>
          <w:lang w:val="en-US"/>
        </w:rPr>
        <w:fldChar w:fldCharType="separate"/>
      </w:r>
      <w:r w:rsidR="007C5FAC">
        <w:t xml:space="preserve">Figure </w:t>
      </w:r>
      <w:r w:rsidR="007C5FAC">
        <w:rPr>
          <w:noProof/>
        </w:rPr>
        <w:t>14</w:t>
      </w:r>
      <w:r>
        <w:rPr>
          <w:lang w:val="en-US"/>
        </w:rPr>
        <w:fldChar w:fldCharType="end"/>
      </w:r>
      <w:r>
        <w:rPr>
          <w:lang w:val="en-US"/>
        </w:rPr>
        <w:t xml:space="preserve"> </w:t>
      </w:r>
      <w:r w:rsidRPr="007D3C53">
        <w:rPr>
          <w:lang w:val="en-US"/>
        </w:rPr>
        <w:t xml:space="preserve">instead show the case when 20% of UEs are indoor. Notice that the trend is </w:t>
      </w:r>
      <w:proofErr w:type="gramStart"/>
      <w:r w:rsidRPr="007D3C53">
        <w:rPr>
          <w:lang w:val="en-US"/>
        </w:rPr>
        <w:t>similar to</w:t>
      </w:r>
      <w:proofErr w:type="gramEnd"/>
      <w:r w:rsidRPr="007D3C53">
        <w:rPr>
          <w:lang w:val="en-US"/>
        </w:rPr>
        <w:t xml:space="preserve"> </w:t>
      </w:r>
      <w:proofErr w:type="spellStart"/>
      <w:r w:rsidRPr="007D3C53">
        <w:rPr>
          <w:lang w:val="en-US"/>
        </w:rPr>
        <w:t>InH</w:t>
      </w:r>
      <w:proofErr w:type="spellEnd"/>
      <w:r w:rsidRPr="007D3C53">
        <w:rPr>
          <w:lang w:val="en-US"/>
        </w:rPr>
        <w:t xml:space="preserve"> setting and same considerations apply for the difference between Classic and Flat approach.</w:t>
      </w:r>
    </w:p>
    <w:p w:rsidR="00742562" w:rsidRDefault="00742562" w:rsidP="00742562">
      <w:pPr>
        <w:rPr>
          <w:lang w:val="en-US"/>
        </w:rPr>
      </w:pPr>
      <w:r w:rsidRPr="007D3C53">
        <w:rPr>
          <w:lang w:val="en-US"/>
        </w:rPr>
        <w:t>It is also interesting to observe the performance degradation due to additional penetration losses when indoor UE are considered.</w:t>
      </w:r>
    </w:p>
    <w:p w:rsidR="00F45B1C" w:rsidRDefault="00F45B1C" w:rsidP="00F45B1C">
      <w:pPr>
        <w:rPr>
          <w:lang w:val="en-US"/>
        </w:rPr>
      </w:pPr>
      <w:r>
        <w:rPr>
          <w:lang w:val="en-US"/>
        </w:rPr>
        <w:t>Our findings for the analyzed scenario are summarized in the following observation:</w:t>
      </w:r>
    </w:p>
    <w:p w:rsidR="00146548" w:rsidRPr="00657486" w:rsidRDefault="00146548" w:rsidP="00146548">
      <w:pPr>
        <w:rPr>
          <w:lang w:val="en-US"/>
        </w:rPr>
      </w:pPr>
      <w:r>
        <w:rPr>
          <w:lang w:val="en-US"/>
        </w:rPr>
        <w:t>For</w:t>
      </w:r>
      <w:r w:rsidRPr="00657486">
        <w:rPr>
          <w:lang w:val="en-US"/>
        </w:rPr>
        <w:t xml:space="preserve"> </w:t>
      </w:r>
      <w:proofErr w:type="spellStart"/>
      <w:r>
        <w:rPr>
          <w:lang w:val="en-US"/>
        </w:rPr>
        <w:t>UMa</w:t>
      </w:r>
      <w:proofErr w:type="spellEnd"/>
      <w:r w:rsidRPr="00657486">
        <w:rPr>
          <w:lang w:val="en-US"/>
        </w:rPr>
        <w:t xml:space="preserve"> scenario</w:t>
      </w:r>
      <w:r>
        <w:rPr>
          <w:lang w:val="en-US"/>
        </w:rPr>
        <w:t>, the</w:t>
      </w:r>
      <w:r w:rsidRPr="00657486">
        <w:rPr>
          <w:lang w:val="en-US"/>
        </w:rPr>
        <w:t xml:space="preserve"> maximum </w:t>
      </w:r>
      <w:r>
        <w:rPr>
          <w:lang w:val="en-US"/>
        </w:rPr>
        <w:t>UL SINR and throughput gains due to spherical coverage are reported in the following tables. The gain is computed comparing 2x2 panels with the worst single panel performance</w:t>
      </w:r>
      <w:r w:rsidRPr="00657486">
        <w:rPr>
          <w:lang w:val="en-US"/>
        </w:rPr>
        <w:t>:</w:t>
      </w:r>
    </w:p>
    <w:tbl>
      <w:tblPr>
        <w:tblW w:w="10080" w:type="dxa"/>
        <w:jc w:val="center"/>
        <w:tblLook w:val="04A0" w:firstRow="1" w:lastRow="0" w:firstColumn="1" w:lastColumn="0" w:noHBand="0" w:noVBand="1"/>
      </w:tblPr>
      <w:tblGrid>
        <w:gridCol w:w="3330"/>
        <w:gridCol w:w="1440"/>
        <w:gridCol w:w="1440"/>
        <w:gridCol w:w="1710"/>
        <w:gridCol w:w="1710"/>
        <w:gridCol w:w="450"/>
      </w:tblGrid>
      <w:tr w:rsidR="00B33084" w:rsidRPr="00BD1D94" w:rsidTr="00BD1D94">
        <w:trPr>
          <w:gridAfter w:val="1"/>
          <w:wAfter w:w="450" w:type="dxa"/>
          <w:trHeight w:val="330"/>
          <w:jc w:val="center"/>
        </w:trPr>
        <w:tc>
          <w:tcPr>
            <w:tcW w:w="3330" w:type="dxa"/>
            <w:tcBorders>
              <w:top w:val="nil"/>
              <w:left w:val="nil"/>
              <w:bottom w:val="nil"/>
              <w:right w:val="nil"/>
            </w:tcBorders>
            <w:shd w:val="clear" w:color="auto" w:fill="auto"/>
            <w:noWrap/>
            <w:vAlign w:val="bottom"/>
            <w:hideMark/>
          </w:tcPr>
          <w:p w:rsidR="00B33084" w:rsidRPr="00BD1D94" w:rsidRDefault="00B33084" w:rsidP="00E14C45">
            <w:pPr>
              <w:spacing w:after="0"/>
              <w:rPr>
                <w:szCs w:val="24"/>
                <w:lang w:val="en-US"/>
              </w:rPr>
            </w:pPr>
          </w:p>
        </w:tc>
        <w:tc>
          <w:tcPr>
            <w:tcW w:w="630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33084" w:rsidRPr="00BD1D94" w:rsidRDefault="00B33084" w:rsidP="00E14C45">
            <w:pPr>
              <w:spacing w:after="0"/>
              <w:jc w:val="center"/>
              <w:rPr>
                <w:b/>
                <w:bCs/>
                <w:color w:val="000000"/>
                <w:szCs w:val="24"/>
                <w:lang w:val="en-US"/>
              </w:rPr>
            </w:pPr>
            <w:r w:rsidRPr="00BD1D94">
              <w:rPr>
                <w:b/>
                <w:bCs/>
                <w:color w:val="000000"/>
                <w:szCs w:val="24"/>
                <w:lang w:val="en-US"/>
              </w:rPr>
              <w:t xml:space="preserve">SINR </w:t>
            </w:r>
            <w:r w:rsidR="00EB5660" w:rsidRPr="00BD1D94">
              <w:rPr>
                <w:b/>
                <w:bCs/>
                <w:color w:val="000000"/>
                <w:szCs w:val="24"/>
                <w:lang w:val="en-US"/>
              </w:rPr>
              <w:t xml:space="preserve">maximum </w:t>
            </w:r>
            <w:r w:rsidRPr="00BD1D94">
              <w:rPr>
                <w:b/>
                <w:bCs/>
                <w:color w:val="000000"/>
                <w:szCs w:val="24"/>
                <w:lang w:val="en-US"/>
              </w:rPr>
              <w:t>gain [dB] of spherical versus semi-spherical</w:t>
            </w:r>
          </w:p>
        </w:tc>
      </w:tr>
      <w:tr w:rsidR="00B33084" w:rsidRPr="00BD1D94" w:rsidTr="00BD1D94">
        <w:trPr>
          <w:gridAfter w:val="1"/>
          <w:wAfter w:w="450" w:type="dxa"/>
          <w:trHeight w:val="330"/>
          <w:jc w:val="center"/>
        </w:trPr>
        <w:tc>
          <w:tcPr>
            <w:tcW w:w="3330" w:type="dxa"/>
            <w:vMerge w:val="restart"/>
            <w:tcBorders>
              <w:top w:val="single" w:sz="8" w:space="0" w:color="auto"/>
              <w:left w:val="single" w:sz="8" w:space="0" w:color="auto"/>
              <w:right w:val="nil"/>
            </w:tcBorders>
            <w:shd w:val="clear" w:color="auto" w:fill="auto"/>
            <w:noWrap/>
            <w:vAlign w:val="center"/>
            <w:hideMark/>
          </w:tcPr>
          <w:p w:rsidR="00B33084" w:rsidRPr="00BD1D94" w:rsidRDefault="00B33084" w:rsidP="00E14C45">
            <w:pPr>
              <w:spacing w:after="0"/>
              <w:jc w:val="center"/>
              <w:rPr>
                <w:b/>
                <w:bCs/>
                <w:color w:val="000000"/>
                <w:szCs w:val="24"/>
                <w:lang w:val="en-US"/>
              </w:rPr>
            </w:pPr>
            <w:r w:rsidRPr="00BD1D94">
              <w:rPr>
                <w:b/>
                <w:bCs/>
                <w:color w:val="000000"/>
                <w:szCs w:val="24"/>
                <w:lang w:val="en-US"/>
              </w:rPr>
              <w:t>Approach – % indoor UE</w:t>
            </w:r>
          </w:p>
        </w:tc>
        <w:tc>
          <w:tcPr>
            <w:tcW w:w="2880" w:type="dxa"/>
            <w:gridSpan w:val="2"/>
            <w:tcBorders>
              <w:top w:val="nil"/>
              <w:left w:val="single" w:sz="8" w:space="0" w:color="auto"/>
              <w:bottom w:val="single" w:sz="8" w:space="0" w:color="auto"/>
              <w:right w:val="single" w:sz="4" w:space="0" w:color="auto"/>
            </w:tcBorders>
            <w:shd w:val="clear" w:color="auto" w:fill="auto"/>
            <w:noWrap/>
            <w:vAlign w:val="bottom"/>
            <w:hideMark/>
          </w:tcPr>
          <w:p w:rsidR="00B33084" w:rsidRPr="00BD1D94" w:rsidRDefault="00B33084" w:rsidP="00E14C45">
            <w:pPr>
              <w:spacing w:after="0"/>
              <w:jc w:val="center"/>
              <w:rPr>
                <w:b/>
                <w:bCs/>
                <w:color w:val="000000"/>
                <w:szCs w:val="24"/>
                <w:lang w:val="en-US"/>
              </w:rPr>
            </w:pPr>
            <w:r w:rsidRPr="00BD1D94">
              <w:rPr>
                <w:b/>
                <w:bCs/>
                <w:color w:val="000000"/>
                <w:szCs w:val="24"/>
                <w:lang w:val="en-US"/>
              </w:rPr>
              <w:t>50%-tile</w:t>
            </w:r>
          </w:p>
        </w:tc>
        <w:tc>
          <w:tcPr>
            <w:tcW w:w="3420" w:type="dxa"/>
            <w:gridSpan w:val="2"/>
            <w:tcBorders>
              <w:top w:val="nil"/>
              <w:left w:val="nil"/>
              <w:bottom w:val="single" w:sz="8" w:space="0" w:color="auto"/>
              <w:right w:val="single" w:sz="8" w:space="0" w:color="auto"/>
            </w:tcBorders>
            <w:shd w:val="clear" w:color="auto" w:fill="auto"/>
            <w:noWrap/>
            <w:vAlign w:val="bottom"/>
            <w:hideMark/>
          </w:tcPr>
          <w:p w:rsidR="00B33084" w:rsidRPr="00BD1D94" w:rsidRDefault="00B33084" w:rsidP="00E14C45">
            <w:pPr>
              <w:spacing w:after="0"/>
              <w:jc w:val="center"/>
              <w:rPr>
                <w:b/>
                <w:bCs/>
                <w:color w:val="000000"/>
                <w:szCs w:val="24"/>
                <w:lang w:val="en-US"/>
              </w:rPr>
            </w:pPr>
            <w:r w:rsidRPr="00BD1D94">
              <w:rPr>
                <w:b/>
                <w:bCs/>
                <w:color w:val="000000"/>
                <w:szCs w:val="24"/>
                <w:lang w:val="en-US"/>
              </w:rPr>
              <w:t>5%-tile</w:t>
            </w:r>
          </w:p>
        </w:tc>
      </w:tr>
      <w:tr w:rsidR="00B33084" w:rsidRPr="00BD1D94" w:rsidTr="00BD1D94">
        <w:trPr>
          <w:trHeight w:val="330"/>
          <w:jc w:val="center"/>
        </w:trPr>
        <w:tc>
          <w:tcPr>
            <w:tcW w:w="3330" w:type="dxa"/>
            <w:vMerge/>
            <w:tcBorders>
              <w:left w:val="single" w:sz="8" w:space="0" w:color="auto"/>
              <w:bottom w:val="single" w:sz="8" w:space="0" w:color="auto"/>
              <w:right w:val="nil"/>
            </w:tcBorders>
            <w:shd w:val="clear" w:color="auto" w:fill="auto"/>
            <w:noWrap/>
            <w:vAlign w:val="bottom"/>
          </w:tcPr>
          <w:p w:rsidR="00B33084" w:rsidRPr="00BD1D94" w:rsidRDefault="00B33084" w:rsidP="00E14C45">
            <w:pPr>
              <w:spacing w:after="0"/>
              <w:jc w:val="center"/>
              <w:rPr>
                <w:b/>
                <w:bCs/>
                <w:color w:val="000000"/>
                <w:szCs w:val="24"/>
                <w:lang w:val="en-US"/>
              </w:rPr>
            </w:pPr>
          </w:p>
        </w:tc>
        <w:tc>
          <w:tcPr>
            <w:tcW w:w="1440" w:type="dxa"/>
            <w:tcBorders>
              <w:top w:val="nil"/>
              <w:left w:val="single" w:sz="8" w:space="0" w:color="auto"/>
              <w:bottom w:val="single" w:sz="8" w:space="0" w:color="auto"/>
              <w:right w:val="single" w:sz="4" w:space="0" w:color="auto"/>
            </w:tcBorders>
            <w:shd w:val="clear" w:color="auto" w:fill="auto"/>
            <w:noWrap/>
            <w:vAlign w:val="bottom"/>
          </w:tcPr>
          <w:p w:rsidR="00B33084" w:rsidRPr="00BD1D94" w:rsidRDefault="00B33084" w:rsidP="00E14C45">
            <w:pPr>
              <w:spacing w:after="0"/>
              <w:jc w:val="center"/>
              <w:rPr>
                <w:b/>
                <w:color w:val="000000"/>
                <w:szCs w:val="24"/>
                <w:lang w:val="en-US"/>
              </w:rPr>
            </w:pPr>
            <w:r w:rsidRPr="00BD1D94">
              <w:rPr>
                <w:b/>
                <w:color w:val="000000"/>
                <w:szCs w:val="24"/>
                <w:lang w:val="en-US"/>
              </w:rPr>
              <w:t>ISD = 300m</w:t>
            </w:r>
          </w:p>
        </w:tc>
        <w:tc>
          <w:tcPr>
            <w:tcW w:w="1440" w:type="dxa"/>
            <w:tcBorders>
              <w:top w:val="nil"/>
              <w:left w:val="single" w:sz="8" w:space="0" w:color="auto"/>
              <w:bottom w:val="single" w:sz="8" w:space="0" w:color="auto"/>
              <w:right w:val="single" w:sz="4"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b/>
                <w:color w:val="000000"/>
                <w:szCs w:val="24"/>
                <w:lang w:val="en-US"/>
              </w:rPr>
              <w:t>ISD = 400m</w:t>
            </w:r>
          </w:p>
        </w:tc>
        <w:tc>
          <w:tcPr>
            <w:tcW w:w="1710" w:type="dxa"/>
            <w:tcBorders>
              <w:top w:val="nil"/>
              <w:left w:val="single" w:sz="8" w:space="0" w:color="auto"/>
              <w:bottom w:val="single" w:sz="8" w:space="0" w:color="auto"/>
              <w:right w:val="single" w:sz="8" w:space="0" w:color="auto"/>
            </w:tcBorders>
            <w:shd w:val="clear" w:color="auto" w:fill="auto"/>
            <w:noWrap/>
            <w:vAlign w:val="bottom"/>
          </w:tcPr>
          <w:p w:rsidR="00B33084" w:rsidRPr="00BD1D94" w:rsidRDefault="00B33084" w:rsidP="00E14C45">
            <w:pPr>
              <w:spacing w:after="0"/>
              <w:jc w:val="center"/>
              <w:rPr>
                <w:color w:val="000000"/>
                <w:szCs w:val="24"/>
                <w:lang w:val="en-US"/>
              </w:rPr>
            </w:pPr>
            <w:r w:rsidRPr="00BD1D94">
              <w:rPr>
                <w:b/>
                <w:color w:val="000000"/>
                <w:szCs w:val="24"/>
                <w:lang w:val="en-US"/>
              </w:rPr>
              <w:t>ISD = 300m</w:t>
            </w:r>
          </w:p>
        </w:tc>
        <w:tc>
          <w:tcPr>
            <w:tcW w:w="1710" w:type="dxa"/>
            <w:tcBorders>
              <w:top w:val="nil"/>
              <w:left w:val="single" w:sz="8" w:space="0" w:color="auto"/>
              <w:bottom w:val="single" w:sz="8" w:space="0" w:color="auto"/>
              <w:right w:val="single" w:sz="8"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b/>
                <w:color w:val="000000"/>
                <w:szCs w:val="24"/>
                <w:lang w:val="en-US"/>
              </w:rPr>
              <w:t>ISD = 400m</w:t>
            </w:r>
          </w:p>
        </w:tc>
        <w:tc>
          <w:tcPr>
            <w:tcW w:w="450" w:type="dxa"/>
            <w:vAlign w:val="bottom"/>
          </w:tcPr>
          <w:p w:rsidR="00B33084" w:rsidRPr="00BD1D94" w:rsidRDefault="00B33084" w:rsidP="00E14C45">
            <w:pPr>
              <w:spacing w:after="0"/>
            </w:pPr>
          </w:p>
        </w:tc>
      </w:tr>
      <w:tr w:rsidR="00B33084" w:rsidRPr="00BD1D94" w:rsidTr="00BD1D94">
        <w:trPr>
          <w:gridAfter w:val="1"/>
          <w:wAfter w:w="450" w:type="dxa"/>
          <w:trHeight w:val="330"/>
          <w:jc w:val="center"/>
        </w:trPr>
        <w:tc>
          <w:tcPr>
            <w:tcW w:w="3330" w:type="dxa"/>
            <w:tcBorders>
              <w:top w:val="nil"/>
              <w:left w:val="single" w:sz="8" w:space="0" w:color="auto"/>
              <w:bottom w:val="single" w:sz="8" w:space="0" w:color="auto"/>
              <w:right w:val="nil"/>
            </w:tcBorders>
            <w:shd w:val="clear" w:color="auto" w:fill="auto"/>
            <w:noWrap/>
            <w:vAlign w:val="bottom"/>
            <w:hideMark/>
          </w:tcPr>
          <w:p w:rsidR="00B33084" w:rsidRPr="00BD1D94" w:rsidRDefault="00B33084" w:rsidP="00E14C45">
            <w:pPr>
              <w:spacing w:after="0"/>
              <w:jc w:val="center"/>
              <w:rPr>
                <w:b/>
                <w:bCs/>
                <w:color w:val="000000"/>
                <w:szCs w:val="24"/>
                <w:lang w:val="en-US"/>
              </w:rPr>
            </w:pPr>
            <w:r w:rsidRPr="00BD1D94">
              <w:rPr>
                <w:b/>
                <w:bCs/>
                <w:color w:val="000000"/>
                <w:szCs w:val="24"/>
                <w:lang w:val="en-US"/>
              </w:rPr>
              <w:t>Classic – 0%</w:t>
            </w:r>
          </w:p>
        </w:tc>
        <w:tc>
          <w:tcPr>
            <w:tcW w:w="1440" w:type="dxa"/>
            <w:tcBorders>
              <w:top w:val="nil"/>
              <w:left w:val="single" w:sz="8" w:space="0" w:color="auto"/>
              <w:bottom w:val="single" w:sz="8" w:space="0" w:color="auto"/>
              <w:right w:val="single" w:sz="4" w:space="0" w:color="auto"/>
            </w:tcBorders>
            <w:shd w:val="clear" w:color="auto" w:fill="auto"/>
            <w:noWrap/>
            <w:vAlign w:val="bottom"/>
            <w:hideMark/>
          </w:tcPr>
          <w:p w:rsidR="00B33084" w:rsidRPr="00BD1D94" w:rsidRDefault="00B33084" w:rsidP="00E14C45">
            <w:pPr>
              <w:spacing w:after="0"/>
              <w:jc w:val="center"/>
              <w:rPr>
                <w:color w:val="000000"/>
                <w:szCs w:val="24"/>
                <w:lang w:val="en-US"/>
              </w:rPr>
            </w:pPr>
            <w:r w:rsidRPr="00BD1D94">
              <w:rPr>
                <w:color w:val="000000"/>
                <w:szCs w:val="24"/>
                <w:lang w:val="en-US"/>
              </w:rPr>
              <w:t>7.4</w:t>
            </w:r>
          </w:p>
        </w:tc>
        <w:tc>
          <w:tcPr>
            <w:tcW w:w="1440" w:type="dxa"/>
            <w:tcBorders>
              <w:top w:val="nil"/>
              <w:left w:val="single" w:sz="8" w:space="0" w:color="auto"/>
              <w:bottom w:val="single" w:sz="8" w:space="0" w:color="auto"/>
              <w:right w:val="single" w:sz="4"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color w:val="000000"/>
                <w:szCs w:val="24"/>
                <w:lang w:val="en-US"/>
              </w:rPr>
              <w:t>7.3</w:t>
            </w:r>
          </w:p>
        </w:tc>
        <w:tc>
          <w:tcPr>
            <w:tcW w:w="1710" w:type="dxa"/>
            <w:tcBorders>
              <w:top w:val="nil"/>
              <w:left w:val="single" w:sz="8" w:space="0" w:color="auto"/>
              <w:bottom w:val="single" w:sz="8" w:space="0" w:color="auto"/>
              <w:right w:val="single" w:sz="8" w:space="0" w:color="auto"/>
            </w:tcBorders>
            <w:shd w:val="clear" w:color="auto" w:fill="auto"/>
            <w:noWrap/>
            <w:vAlign w:val="bottom"/>
            <w:hideMark/>
          </w:tcPr>
          <w:p w:rsidR="00B33084" w:rsidRPr="00BD1D94" w:rsidRDefault="00B33084" w:rsidP="00E14C45">
            <w:pPr>
              <w:spacing w:after="0"/>
              <w:jc w:val="center"/>
              <w:rPr>
                <w:color w:val="000000"/>
                <w:szCs w:val="24"/>
                <w:lang w:val="en-US"/>
              </w:rPr>
            </w:pPr>
            <w:r w:rsidRPr="00BD1D94">
              <w:rPr>
                <w:color w:val="000000"/>
                <w:szCs w:val="24"/>
                <w:lang w:val="en-US"/>
              </w:rPr>
              <w:t>5.4</w:t>
            </w:r>
          </w:p>
        </w:tc>
        <w:tc>
          <w:tcPr>
            <w:tcW w:w="1710" w:type="dxa"/>
            <w:tcBorders>
              <w:top w:val="nil"/>
              <w:left w:val="single" w:sz="8" w:space="0" w:color="auto"/>
              <w:bottom w:val="single" w:sz="8" w:space="0" w:color="auto"/>
              <w:right w:val="single" w:sz="8"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color w:val="000000"/>
                <w:szCs w:val="24"/>
                <w:lang w:val="en-US"/>
              </w:rPr>
              <w:t>5.3</w:t>
            </w:r>
          </w:p>
        </w:tc>
      </w:tr>
      <w:tr w:rsidR="00B33084" w:rsidRPr="00BD1D94" w:rsidTr="00BD1D94">
        <w:trPr>
          <w:gridAfter w:val="1"/>
          <w:wAfter w:w="450" w:type="dxa"/>
          <w:trHeight w:val="330"/>
          <w:jc w:val="center"/>
        </w:trPr>
        <w:tc>
          <w:tcPr>
            <w:tcW w:w="3330" w:type="dxa"/>
            <w:tcBorders>
              <w:top w:val="nil"/>
              <w:left w:val="single" w:sz="8" w:space="0" w:color="auto"/>
              <w:bottom w:val="single" w:sz="4" w:space="0" w:color="auto"/>
              <w:right w:val="nil"/>
            </w:tcBorders>
            <w:shd w:val="clear" w:color="auto" w:fill="auto"/>
            <w:noWrap/>
            <w:vAlign w:val="bottom"/>
            <w:hideMark/>
          </w:tcPr>
          <w:p w:rsidR="00B33084" w:rsidRPr="00BD1D94" w:rsidRDefault="00B33084" w:rsidP="00E14C45">
            <w:pPr>
              <w:spacing w:after="0"/>
              <w:jc w:val="center"/>
              <w:rPr>
                <w:b/>
                <w:bCs/>
                <w:color w:val="000000"/>
                <w:szCs w:val="24"/>
                <w:lang w:val="en-US"/>
              </w:rPr>
            </w:pPr>
            <w:r w:rsidRPr="00BD1D94">
              <w:rPr>
                <w:b/>
                <w:bCs/>
                <w:color w:val="000000"/>
                <w:szCs w:val="24"/>
                <w:lang w:val="en-US"/>
              </w:rPr>
              <w:t>Flat – 0%</w:t>
            </w:r>
          </w:p>
        </w:tc>
        <w:tc>
          <w:tcPr>
            <w:tcW w:w="1440" w:type="dxa"/>
            <w:tcBorders>
              <w:top w:val="nil"/>
              <w:left w:val="single" w:sz="8" w:space="0" w:color="auto"/>
              <w:bottom w:val="single" w:sz="4" w:space="0" w:color="auto"/>
              <w:right w:val="single" w:sz="4" w:space="0" w:color="auto"/>
            </w:tcBorders>
            <w:shd w:val="clear" w:color="auto" w:fill="auto"/>
            <w:noWrap/>
            <w:vAlign w:val="bottom"/>
            <w:hideMark/>
          </w:tcPr>
          <w:p w:rsidR="00B33084" w:rsidRPr="00BD1D94" w:rsidRDefault="00B33084" w:rsidP="00E14C45">
            <w:pPr>
              <w:spacing w:after="0"/>
              <w:jc w:val="center"/>
              <w:rPr>
                <w:color w:val="000000"/>
                <w:szCs w:val="24"/>
                <w:lang w:val="en-US"/>
              </w:rPr>
            </w:pPr>
            <w:r w:rsidRPr="00BD1D94">
              <w:rPr>
                <w:color w:val="000000"/>
                <w:szCs w:val="24"/>
                <w:lang w:val="en-US"/>
              </w:rPr>
              <w:t>12</w:t>
            </w:r>
          </w:p>
        </w:tc>
        <w:tc>
          <w:tcPr>
            <w:tcW w:w="1440" w:type="dxa"/>
            <w:tcBorders>
              <w:top w:val="nil"/>
              <w:left w:val="single" w:sz="8" w:space="0" w:color="auto"/>
              <w:bottom w:val="single" w:sz="4" w:space="0" w:color="auto"/>
              <w:right w:val="single" w:sz="4"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color w:val="000000"/>
                <w:szCs w:val="24"/>
                <w:lang w:val="en-US"/>
              </w:rPr>
              <w:t>11.4</w:t>
            </w:r>
          </w:p>
        </w:tc>
        <w:tc>
          <w:tcPr>
            <w:tcW w:w="1710" w:type="dxa"/>
            <w:tcBorders>
              <w:top w:val="nil"/>
              <w:left w:val="single" w:sz="8" w:space="0" w:color="auto"/>
              <w:bottom w:val="single" w:sz="4" w:space="0" w:color="auto"/>
              <w:right w:val="single" w:sz="8" w:space="0" w:color="auto"/>
            </w:tcBorders>
            <w:shd w:val="clear" w:color="auto" w:fill="auto"/>
            <w:noWrap/>
            <w:vAlign w:val="bottom"/>
            <w:hideMark/>
          </w:tcPr>
          <w:p w:rsidR="00B33084" w:rsidRPr="00BD1D94" w:rsidRDefault="00B33084" w:rsidP="00E14C45">
            <w:pPr>
              <w:spacing w:after="0"/>
              <w:jc w:val="center"/>
              <w:rPr>
                <w:color w:val="000000"/>
                <w:szCs w:val="24"/>
                <w:lang w:val="en-US"/>
              </w:rPr>
            </w:pPr>
            <w:r w:rsidRPr="00BD1D94">
              <w:rPr>
                <w:color w:val="000000"/>
                <w:szCs w:val="24"/>
                <w:lang w:val="en-US"/>
              </w:rPr>
              <w:t>11.6</w:t>
            </w:r>
          </w:p>
        </w:tc>
        <w:tc>
          <w:tcPr>
            <w:tcW w:w="1710" w:type="dxa"/>
            <w:tcBorders>
              <w:top w:val="nil"/>
              <w:left w:val="single" w:sz="8" w:space="0" w:color="auto"/>
              <w:bottom w:val="single" w:sz="4" w:space="0" w:color="auto"/>
              <w:right w:val="single" w:sz="8"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color w:val="000000"/>
                <w:szCs w:val="24"/>
                <w:lang w:val="en-US"/>
              </w:rPr>
              <w:t>11.4</w:t>
            </w:r>
          </w:p>
        </w:tc>
      </w:tr>
      <w:tr w:rsidR="00B33084" w:rsidRPr="00BD1D94" w:rsidTr="00BD1D94">
        <w:trPr>
          <w:gridAfter w:val="1"/>
          <w:wAfter w:w="45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B33084" w:rsidRPr="00BD1D94" w:rsidRDefault="00B33084" w:rsidP="00E14C45">
            <w:pPr>
              <w:spacing w:after="0"/>
              <w:jc w:val="center"/>
              <w:rPr>
                <w:b/>
                <w:bCs/>
                <w:color w:val="000000"/>
                <w:szCs w:val="24"/>
                <w:lang w:val="en-US"/>
              </w:rPr>
            </w:pPr>
            <w:r w:rsidRPr="00BD1D94">
              <w:rPr>
                <w:b/>
                <w:bCs/>
                <w:color w:val="000000"/>
                <w:szCs w:val="24"/>
                <w:lang w:val="en-US"/>
              </w:rPr>
              <w:t>Classic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B33084" w:rsidRPr="00BD1D94" w:rsidRDefault="00B33084" w:rsidP="00E14C45">
            <w:pPr>
              <w:spacing w:after="0"/>
              <w:jc w:val="center"/>
              <w:rPr>
                <w:color w:val="000000"/>
                <w:szCs w:val="24"/>
                <w:lang w:val="en-US"/>
              </w:rPr>
            </w:pPr>
            <w:r w:rsidRPr="00BD1D94">
              <w:rPr>
                <w:color w:val="000000"/>
                <w:szCs w:val="24"/>
                <w:lang w:val="en-US"/>
              </w:rPr>
              <w:t>7.6</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color w:val="000000"/>
                <w:szCs w:val="24"/>
                <w:lang w:val="en-US"/>
              </w:rPr>
              <w:t>7.2</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B33084" w:rsidRPr="00BD1D94" w:rsidRDefault="00B33084" w:rsidP="00E14C45">
            <w:pPr>
              <w:spacing w:after="0"/>
              <w:jc w:val="center"/>
              <w:rPr>
                <w:color w:val="000000"/>
                <w:szCs w:val="24"/>
                <w:lang w:val="en-US"/>
              </w:rPr>
            </w:pPr>
            <w:r w:rsidRPr="00BD1D94">
              <w:rPr>
                <w:color w:val="000000"/>
                <w:szCs w:val="24"/>
                <w:lang w:val="en-US"/>
              </w:rPr>
              <w:t>5.8</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color w:val="000000"/>
                <w:szCs w:val="24"/>
                <w:lang w:val="en-US"/>
              </w:rPr>
              <w:t>5.8</w:t>
            </w:r>
          </w:p>
        </w:tc>
      </w:tr>
      <w:tr w:rsidR="00B33084" w:rsidRPr="00BD1D94" w:rsidTr="00BD1D94">
        <w:trPr>
          <w:gridAfter w:val="1"/>
          <w:wAfter w:w="45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B33084" w:rsidRPr="00BD1D94" w:rsidRDefault="00B33084" w:rsidP="00E14C45">
            <w:pPr>
              <w:spacing w:after="0"/>
              <w:jc w:val="center"/>
              <w:rPr>
                <w:b/>
                <w:bCs/>
                <w:color w:val="000000"/>
                <w:szCs w:val="24"/>
                <w:lang w:val="en-US"/>
              </w:rPr>
            </w:pPr>
            <w:r w:rsidRPr="00BD1D94">
              <w:rPr>
                <w:b/>
                <w:bCs/>
                <w:color w:val="000000"/>
                <w:szCs w:val="24"/>
                <w:lang w:val="en-US"/>
              </w:rPr>
              <w:t>Flat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B33084" w:rsidRPr="00BD1D94" w:rsidRDefault="00B33084" w:rsidP="00E14C45">
            <w:pPr>
              <w:spacing w:after="0"/>
              <w:jc w:val="center"/>
              <w:rPr>
                <w:color w:val="000000"/>
                <w:szCs w:val="24"/>
                <w:lang w:val="en-US"/>
              </w:rPr>
            </w:pPr>
            <w:r w:rsidRPr="00BD1D94">
              <w:rPr>
                <w:color w:val="000000"/>
                <w:szCs w:val="24"/>
                <w:lang w:val="en-US"/>
              </w:rPr>
              <w:t>12.2</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color w:val="000000"/>
                <w:szCs w:val="24"/>
                <w:lang w:val="en-US"/>
              </w:rPr>
              <w:t>10.9</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B33084" w:rsidRPr="00BD1D94" w:rsidRDefault="00B33084" w:rsidP="00E14C45">
            <w:pPr>
              <w:spacing w:after="0"/>
              <w:jc w:val="center"/>
              <w:rPr>
                <w:color w:val="000000"/>
                <w:szCs w:val="24"/>
                <w:lang w:val="en-US"/>
              </w:rPr>
            </w:pPr>
            <w:r w:rsidRPr="00BD1D94">
              <w:rPr>
                <w:color w:val="000000"/>
                <w:szCs w:val="24"/>
                <w:lang w:val="en-US"/>
              </w:rPr>
              <w:t>10.3</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B33084" w:rsidRPr="00BD1D94" w:rsidRDefault="00B33084" w:rsidP="00E14C45">
            <w:pPr>
              <w:spacing w:after="0"/>
              <w:jc w:val="center"/>
              <w:rPr>
                <w:color w:val="000000"/>
                <w:szCs w:val="24"/>
                <w:lang w:val="en-US"/>
              </w:rPr>
            </w:pPr>
            <w:r w:rsidRPr="00BD1D94">
              <w:rPr>
                <w:color w:val="000000"/>
                <w:szCs w:val="24"/>
                <w:lang w:val="en-US"/>
              </w:rPr>
              <w:t>10.1</w:t>
            </w:r>
          </w:p>
        </w:tc>
      </w:tr>
    </w:tbl>
    <w:p w:rsidR="00507F69" w:rsidRDefault="00507F69">
      <w:pPr>
        <w:rPr>
          <w:b/>
          <w:i/>
          <w:lang w:val="en-US"/>
        </w:rPr>
      </w:pPr>
    </w:p>
    <w:tbl>
      <w:tblPr>
        <w:tblW w:w="10080" w:type="dxa"/>
        <w:jc w:val="center"/>
        <w:tblLook w:val="04A0" w:firstRow="1" w:lastRow="0" w:firstColumn="1" w:lastColumn="0" w:noHBand="0" w:noVBand="1"/>
      </w:tblPr>
      <w:tblGrid>
        <w:gridCol w:w="3330"/>
        <w:gridCol w:w="1440"/>
        <w:gridCol w:w="1440"/>
        <w:gridCol w:w="1710"/>
        <w:gridCol w:w="1710"/>
        <w:gridCol w:w="450"/>
      </w:tblGrid>
      <w:tr w:rsidR="00507F69" w:rsidRPr="00FF38A3" w:rsidTr="00BD1D94">
        <w:trPr>
          <w:gridAfter w:val="1"/>
          <w:wAfter w:w="450" w:type="dxa"/>
          <w:trHeight w:val="330"/>
          <w:jc w:val="center"/>
        </w:trPr>
        <w:tc>
          <w:tcPr>
            <w:tcW w:w="3330" w:type="dxa"/>
            <w:tcBorders>
              <w:top w:val="nil"/>
              <w:left w:val="nil"/>
              <w:bottom w:val="nil"/>
              <w:right w:val="nil"/>
            </w:tcBorders>
            <w:shd w:val="clear" w:color="auto" w:fill="auto"/>
            <w:noWrap/>
            <w:vAlign w:val="bottom"/>
            <w:hideMark/>
          </w:tcPr>
          <w:p w:rsidR="00507F69" w:rsidRPr="00FF38A3" w:rsidRDefault="00507F69" w:rsidP="006E4677">
            <w:pPr>
              <w:spacing w:after="0"/>
              <w:rPr>
                <w:sz w:val="22"/>
                <w:szCs w:val="24"/>
                <w:lang w:val="en-US"/>
              </w:rPr>
            </w:pPr>
          </w:p>
        </w:tc>
        <w:tc>
          <w:tcPr>
            <w:tcW w:w="630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07F69" w:rsidRPr="00FF38A3" w:rsidRDefault="00507F69" w:rsidP="006E4677">
            <w:pPr>
              <w:spacing w:after="0"/>
              <w:jc w:val="center"/>
              <w:rPr>
                <w:b/>
                <w:bCs/>
                <w:color w:val="000000"/>
                <w:sz w:val="22"/>
                <w:szCs w:val="24"/>
                <w:lang w:val="en-US"/>
              </w:rPr>
            </w:pPr>
            <w:r>
              <w:rPr>
                <w:b/>
                <w:bCs/>
                <w:color w:val="000000"/>
                <w:sz w:val="22"/>
                <w:szCs w:val="24"/>
                <w:lang w:val="en-US"/>
              </w:rPr>
              <w:t>Throughput maximum gain</w:t>
            </w:r>
            <w:r w:rsidRPr="00FF38A3">
              <w:rPr>
                <w:b/>
                <w:bCs/>
                <w:color w:val="000000"/>
                <w:sz w:val="22"/>
                <w:szCs w:val="24"/>
                <w:lang w:val="en-US"/>
              </w:rPr>
              <w:t xml:space="preserve"> </w:t>
            </w:r>
            <w:r>
              <w:rPr>
                <w:b/>
                <w:bCs/>
                <w:color w:val="000000"/>
                <w:sz w:val="22"/>
                <w:szCs w:val="24"/>
                <w:lang w:val="en-US"/>
              </w:rPr>
              <w:t>of spherical versus semi-spherical</w:t>
            </w:r>
          </w:p>
        </w:tc>
      </w:tr>
      <w:tr w:rsidR="00507F69" w:rsidRPr="00FF38A3" w:rsidTr="00BD1D94">
        <w:trPr>
          <w:gridAfter w:val="1"/>
          <w:wAfter w:w="450" w:type="dxa"/>
          <w:trHeight w:val="330"/>
          <w:jc w:val="center"/>
        </w:trPr>
        <w:tc>
          <w:tcPr>
            <w:tcW w:w="3330" w:type="dxa"/>
            <w:vMerge w:val="restart"/>
            <w:tcBorders>
              <w:top w:val="single" w:sz="8" w:space="0" w:color="auto"/>
              <w:left w:val="single" w:sz="8" w:space="0" w:color="auto"/>
              <w:right w:val="nil"/>
            </w:tcBorders>
            <w:shd w:val="clear" w:color="auto" w:fill="auto"/>
            <w:noWrap/>
            <w:vAlign w:val="center"/>
            <w:hideMark/>
          </w:tcPr>
          <w:p w:rsidR="00507F69" w:rsidRPr="00FF38A3" w:rsidRDefault="00507F69" w:rsidP="006E4677">
            <w:pPr>
              <w:spacing w:after="0"/>
              <w:jc w:val="center"/>
              <w:rPr>
                <w:b/>
                <w:bCs/>
                <w:color w:val="000000"/>
                <w:sz w:val="22"/>
                <w:szCs w:val="24"/>
                <w:lang w:val="en-US"/>
              </w:rPr>
            </w:pPr>
            <w:r>
              <w:rPr>
                <w:b/>
                <w:bCs/>
                <w:color w:val="000000"/>
                <w:sz w:val="22"/>
                <w:szCs w:val="24"/>
                <w:lang w:val="en-US"/>
              </w:rPr>
              <w:t>Approach – % indoor UE</w:t>
            </w:r>
          </w:p>
        </w:tc>
        <w:tc>
          <w:tcPr>
            <w:tcW w:w="2880" w:type="dxa"/>
            <w:gridSpan w:val="2"/>
            <w:tcBorders>
              <w:top w:val="nil"/>
              <w:left w:val="single" w:sz="8" w:space="0" w:color="auto"/>
              <w:bottom w:val="single" w:sz="8" w:space="0" w:color="auto"/>
              <w:right w:val="single" w:sz="4" w:space="0" w:color="auto"/>
            </w:tcBorders>
            <w:shd w:val="clear" w:color="auto" w:fill="auto"/>
            <w:noWrap/>
            <w:vAlign w:val="bottom"/>
            <w:hideMark/>
          </w:tcPr>
          <w:p w:rsidR="00507F69" w:rsidRPr="00FF38A3" w:rsidRDefault="00507F69" w:rsidP="006E4677">
            <w:pPr>
              <w:spacing w:after="0"/>
              <w:jc w:val="center"/>
              <w:rPr>
                <w:b/>
                <w:bCs/>
                <w:color w:val="000000"/>
                <w:sz w:val="22"/>
                <w:szCs w:val="24"/>
                <w:lang w:val="en-US"/>
              </w:rPr>
            </w:pPr>
            <w:r>
              <w:rPr>
                <w:b/>
                <w:bCs/>
                <w:color w:val="000000"/>
                <w:sz w:val="22"/>
                <w:szCs w:val="24"/>
                <w:lang w:val="en-US"/>
              </w:rPr>
              <w:t>50%-tile</w:t>
            </w:r>
          </w:p>
        </w:tc>
        <w:tc>
          <w:tcPr>
            <w:tcW w:w="3420" w:type="dxa"/>
            <w:gridSpan w:val="2"/>
            <w:tcBorders>
              <w:top w:val="nil"/>
              <w:left w:val="nil"/>
              <w:bottom w:val="single" w:sz="8" w:space="0" w:color="auto"/>
              <w:right w:val="single" w:sz="8" w:space="0" w:color="auto"/>
            </w:tcBorders>
            <w:shd w:val="clear" w:color="auto" w:fill="auto"/>
            <w:noWrap/>
            <w:vAlign w:val="bottom"/>
            <w:hideMark/>
          </w:tcPr>
          <w:p w:rsidR="00507F69" w:rsidRPr="00FF38A3" w:rsidRDefault="00507F69" w:rsidP="006E4677">
            <w:pPr>
              <w:spacing w:after="0"/>
              <w:jc w:val="center"/>
              <w:rPr>
                <w:b/>
                <w:bCs/>
                <w:color w:val="000000"/>
                <w:sz w:val="22"/>
                <w:szCs w:val="24"/>
                <w:lang w:val="en-US"/>
              </w:rPr>
            </w:pPr>
            <w:r>
              <w:rPr>
                <w:b/>
                <w:bCs/>
                <w:color w:val="000000"/>
                <w:sz w:val="22"/>
                <w:szCs w:val="24"/>
                <w:lang w:val="en-US"/>
              </w:rPr>
              <w:t>5%-tile</w:t>
            </w:r>
          </w:p>
        </w:tc>
      </w:tr>
      <w:tr w:rsidR="00507F69" w:rsidRPr="00FF38A3" w:rsidTr="00BD1D94">
        <w:trPr>
          <w:trHeight w:val="330"/>
          <w:jc w:val="center"/>
        </w:trPr>
        <w:tc>
          <w:tcPr>
            <w:tcW w:w="3330" w:type="dxa"/>
            <w:vMerge/>
            <w:tcBorders>
              <w:left w:val="single" w:sz="8" w:space="0" w:color="auto"/>
              <w:bottom w:val="single" w:sz="8" w:space="0" w:color="auto"/>
              <w:right w:val="nil"/>
            </w:tcBorders>
            <w:shd w:val="clear" w:color="auto" w:fill="auto"/>
            <w:noWrap/>
            <w:vAlign w:val="bottom"/>
          </w:tcPr>
          <w:p w:rsidR="00507F69" w:rsidRDefault="00507F69" w:rsidP="006E4677">
            <w:pPr>
              <w:spacing w:after="0"/>
              <w:jc w:val="center"/>
              <w:rPr>
                <w:b/>
                <w:bCs/>
                <w:color w:val="000000"/>
                <w:sz w:val="22"/>
                <w:szCs w:val="24"/>
                <w:lang w:val="en-US"/>
              </w:rPr>
            </w:pPr>
          </w:p>
        </w:tc>
        <w:tc>
          <w:tcPr>
            <w:tcW w:w="1440" w:type="dxa"/>
            <w:tcBorders>
              <w:top w:val="nil"/>
              <w:left w:val="single" w:sz="8" w:space="0" w:color="auto"/>
              <w:bottom w:val="single" w:sz="8" w:space="0" w:color="auto"/>
              <w:right w:val="single" w:sz="4" w:space="0" w:color="auto"/>
            </w:tcBorders>
            <w:shd w:val="clear" w:color="auto" w:fill="auto"/>
            <w:noWrap/>
            <w:vAlign w:val="bottom"/>
          </w:tcPr>
          <w:p w:rsidR="00507F69" w:rsidRPr="000A38DF" w:rsidRDefault="00507F69" w:rsidP="006E4677">
            <w:pPr>
              <w:spacing w:after="0"/>
              <w:jc w:val="center"/>
              <w:rPr>
                <w:b/>
                <w:color w:val="000000"/>
                <w:sz w:val="22"/>
                <w:szCs w:val="24"/>
                <w:lang w:val="en-US"/>
              </w:rPr>
            </w:pPr>
            <w:r>
              <w:rPr>
                <w:b/>
                <w:color w:val="000000"/>
                <w:sz w:val="22"/>
                <w:szCs w:val="24"/>
                <w:lang w:val="en-US"/>
              </w:rPr>
              <w:t>ISD = 300m</w:t>
            </w:r>
          </w:p>
        </w:tc>
        <w:tc>
          <w:tcPr>
            <w:tcW w:w="1440" w:type="dxa"/>
            <w:tcBorders>
              <w:top w:val="nil"/>
              <w:left w:val="single" w:sz="8" w:space="0" w:color="auto"/>
              <w:bottom w:val="single" w:sz="8" w:space="0" w:color="auto"/>
              <w:right w:val="single" w:sz="4" w:space="0" w:color="auto"/>
            </w:tcBorders>
            <w:shd w:val="clear" w:color="auto" w:fill="auto"/>
            <w:vAlign w:val="bottom"/>
          </w:tcPr>
          <w:p w:rsidR="00507F69" w:rsidRDefault="00507F69" w:rsidP="006E4677">
            <w:pPr>
              <w:spacing w:after="0"/>
              <w:jc w:val="center"/>
              <w:rPr>
                <w:color w:val="000000"/>
                <w:sz w:val="22"/>
                <w:szCs w:val="24"/>
                <w:lang w:val="en-US"/>
              </w:rPr>
            </w:pPr>
            <w:r>
              <w:rPr>
                <w:b/>
                <w:color w:val="000000"/>
                <w:sz w:val="22"/>
                <w:szCs w:val="24"/>
                <w:lang w:val="en-US"/>
              </w:rPr>
              <w:t>ISD = 400m</w:t>
            </w:r>
          </w:p>
        </w:tc>
        <w:tc>
          <w:tcPr>
            <w:tcW w:w="1710" w:type="dxa"/>
            <w:tcBorders>
              <w:top w:val="nil"/>
              <w:left w:val="single" w:sz="8" w:space="0" w:color="auto"/>
              <w:bottom w:val="single" w:sz="8" w:space="0" w:color="auto"/>
              <w:right w:val="single" w:sz="8" w:space="0" w:color="auto"/>
            </w:tcBorders>
            <w:shd w:val="clear" w:color="auto" w:fill="auto"/>
            <w:noWrap/>
            <w:vAlign w:val="bottom"/>
          </w:tcPr>
          <w:p w:rsidR="00507F69" w:rsidRDefault="00507F69" w:rsidP="006E4677">
            <w:pPr>
              <w:spacing w:after="0"/>
              <w:jc w:val="center"/>
              <w:rPr>
                <w:color w:val="000000"/>
                <w:sz w:val="22"/>
                <w:szCs w:val="24"/>
                <w:lang w:val="en-US"/>
              </w:rPr>
            </w:pPr>
            <w:r>
              <w:rPr>
                <w:b/>
                <w:color w:val="000000"/>
                <w:sz w:val="22"/>
                <w:szCs w:val="24"/>
                <w:lang w:val="en-US"/>
              </w:rPr>
              <w:t>ISD = 300m</w:t>
            </w:r>
          </w:p>
        </w:tc>
        <w:tc>
          <w:tcPr>
            <w:tcW w:w="1710" w:type="dxa"/>
            <w:tcBorders>
              <w:top w:val="nil"/>
              <w:left w:val="single" w:sz="8" w:space="0" w:color="auto"/>
              <w:bottom w:val="single" w:sz="8" w:space="0" w:color="auto"/>
              <w:right w:val="single" w:sz="8" w:space="0" w:color="auto"/>
            </w:tcBorders>
            <w:shd w:val="clear" w:color="auto" w:fill="auto"/>
            <w:vAlign w:val="bottom"/>
          </w:tcPr>
          <w:p w:rsidR="00507F69" w:rsidRDefault="00507F69" w:rsidP="006E4677">
            <w:pPr>
              <w:spacing w:after="0"/>
              <w:jc w:val="center"/>
              <w:rPr>
                <w:color w:val="000000"/>
                <w:sz w:val="22"/>
                <w:szCs w:val="24"/>
                <w:lang w:val="en-US"/>
              </w:rPr>
            </w:pPr>
            <w:r>
              <w:rPr>
                <w:b/>
                <w:color w:val="000000"/>
                <w:sz w:val="22"/>
                <w:szCs w:val="24"/>
                <w:lang w:val="en-US"/>
              </w:rPr>
              <w:t>ISD = 400m</w:t>
            </w:r>
          </w:p>
        </w:tc>
        <w:tc>
          <w:tcPr>
            <w:tcW w:w="450" w:type="dxa"/>
            <w:vAlign w:val="bottom"/>
          </w:tcPr>
          <w:p w:rsidR="00507F69" w:rsidRPr="00FF38A3" w:rsidRDefault="00507F69" w:rsidP="006E4677">
            <w:pPr>
              <w:spacing w:after="0"/>
            </w:pPr>
          </w:p>
        </w:tc>
      </w:tr>
      <w:tr w:rsidR="00507F69" w:rsidRPr="00FF38A3" w:rsidTr="00BD1D94">
        <w:trPr>
          <w:gridAfter w:val="1"/>
          <w:wAfter w:w="450" w:type="dxa"/>
          <w:trHeight w:val="330"/>
          <w:jc w:val="center"/>
        </w:trPr>
        <w:tc>
          <w:tcPr>
            <w:tcW w:w="3330" w:type="dxa"/>
            <w:tcBorders>
              <w:top w:val="nil"/>
              <w:left w:val="single" w:sz="8" w:space="0" w:color="auto"/>
              <w:bottom w:val="single" w:sz="8" w:space="0" w:color="auto"/>
              <w:right w:val="nil"/>
            </w:tcBorders>
            <w:shd w:val="clear" w:color="auto" w:fill="auto"/>
            <w:noWrap/>
            <w:vAlign w:val="bottom"/>
            <w:hideMark/>
          </w:tcPr>
          <w:p w:rsidR="00507F69" w:rsidRPr="00FF38A3" w:rsidRDefault="00507F69" w:rsidP="00507F69">
            <w:pPr>
              <w:spacing w:after="0"/>
              <w:jc w:val="center"/>
              <w:rPr>
                <w:b/>
                <w:bCs/>
                <w:color w:val="000000"/>
                <w:sz w:val="22"/>
                <w:szCs w:val="24"/>
                <w:lang w:val="en-US"/>
              </w:rPr>
            </w:pPr>
            <w:r>
              <w:rPr>
                <w:b/>
                <w:bCs/>
                <w:color w:val="000000"/>
                <w:sz w:val="22"/>
                <w:szCs w:val="24"/>
                <w:lang w:val="en-US"/>
              </w:rPr>
              <w:t>Classic – 0%</w:t>
            </w:r>
          </w:p>
        </w:tc>
        <w:tc>
          <w:tcPr>
            <w:tcW w:w="1440" w:type="dxa"/>
            <w:tcBorders>
              <w:top w:val="nil"/>
              <w:left w:val="single" w:sz="8" w:space="0" w:color="auto"/>
              <w:bottom w:val="single" w:sz="8" w:space="0" w:color="auto"/>
              <w:right w:val="single" w:sz="4" w:space="0" w:color="auto"/>
            </w:tcBorders>
            <w:shd w:val="clear" w:color="auto" w:fill="auto"/>
            <w:noWrap/>
            <w:vAlign w:val="bottom"/>
          </w:tcPr>
          <w:p w:rsidR="00507F69" w:rsidRPr="00FF38A3" w:rsidRDefault="00507F69" w:rsidP="00507F69">
            <w:pPr>
              <w:spacing w:after="0"/>
              <w:jc w:val="center"/>
              <w:rPr>
                <w:color w:val="000000"/>
                <w:sz w:val="22"/>
                <w:szCs w:val="24"/>
                <w:lang w:val="en-US"/>
              </w:rPr>
            </w:pPr>
            <w:r>
              <w:rPr>
                <w:rFonts w:ascii="Calibri" w:hAnsi="Calibri" w:cs="Calibri"/>
                <w:color w:val="000000"/>
                <w:sz w:val="22"/>
                <w:szCs w:val="22"/>
              </w:rPr>
              <w:t>44%</w:t>
            </w:r>
          </w:p>
        </w:tc>
        <w:tc>
          <w:tcPr>
            <w:tcW w:w="1440" w:type="dxa"/>
            <w:tcBorders>
              <w:top w:val="nil"/>
              <w:left w:val="single" w:sz="8" w:space="0" w:color="auto"/>
              <w:bottom w:val="single" w:sz="8" w:space="0" w:color="auto"/>
              <w:right w:val="single" w:sz="4" w:space="0" w:color="auto"/>
            </w:tcBorders>
            <w:shd w:val="clear" w:color="auto" w:fill="auto"/>
            <w:vAlign w:val="bottom"/>
          </w:tcPr>
          <w:p w:rsidR="00507F69" w:rsidRPr="00FF38A3" w:rsidRDefault="00507F69" w:rsidP="00507F69">
            <w:pPr>
              <w:spacing w:after="0"/>
              <w:jc w:val="center"/>
              <w:rPr>
                <w:color w:val="000000"/>
                <w:sz w:val="22"/>
                <w:szCs w:val="24"/>
                <w:lang w:val="en-US"/>
              </w:rPr>
            </w:pPr>
            <w:r>
              <w:rPr>
                <w:rFonts w:ascii="Calibri" w:hAnsi="Calibri" w:cs="Calibri"/>
                <w:color w:val="000000"/>
                <w:sz w:val="22"/>
                <w:szCs w:val="22"/>
              </w:rPr>
              <w:t>57%</w:t>
            </w:r>
          </w:p>
        </w:tc>
        <w:tc>
          <w:tcPr>
            <w:tcW w:w="1710" w:type="dxa"/>
            <w:tcBorders>
              <w:top w:val="nil"/>
              <w:left w:val="single" w:sz="8" w:space="0" w:color="auto"/>
              <w:bottom w:val="single" w:sz="8" w:space="0" w:color="auto"/>
              <w:right w:val="single" w:sz="8" w:space="0" w:color="auto"/>
            </w:tcBorders>
            <w:shd w:val="clear" w:color="auto" w:fill="auto"/>
            <w:noWrap/>
            <w:vAlign w:val="bottom"/>
          </w:tcPr>
          <w:p w:rsidR="00507F69" w:rsidRPr="00FF38A3" w:rsidRDefault="00507F69" w:rsidP="00507F69">
            <w:pPr>
              <w:spacing w:after="0"/>
              <w:jc w:val="center"/>
              <w:rPr>
                <w:color w:val="000000"/>
                <w:sz w:val="22"/>
                <w:szCs w:val="24"/>
                <w:lang w:val="en-US"/>
              </w:rPr>
            </w:pPr>
            <w:r>
              <w:rPr>
                <w:rFonts w:ascii="Calibri" w:hAnsi="Calibri" w:cs="Calibri"/>
                <w:color w:val="000000"/>
                <w:sz w:val="22"/>
                <w:szCs w:val="22"/>
              </w:rPr>
              <w:t>67%</w:t>
            </w:r>
          </w:p>
        </w:tc>
        <w:tc>
          <w:tcPr>
            <w:tcW w:w="1710" w:type="dxa"/>
            <w:tcBorders>
              <w:top w:val="nil"/>
              <w:left w:val="single" w:sz="8" w:space="0" w:color="auto"/>
              <w:bottom w:val="single" w:sz="8" w:space="0" w:color="auto"/>
              <w:right w:val="single" w:sz="8" w:space="0" w:color="auto"/>
            </w:tcBorders>
            <w:shd w:val="clear" w:color="auto" w:fill="auto"/>
            <w:vAlign w:val="bottom"/>
          </w:tcPr>
          <w:p w:rsidR="00507F69" w:rsidRPr="00FF38A3" w:rsidRDefault="00507F69" w:rsidP="00507F69">
            <w:pPr>
              <w:spacing w:after="0"/>
              <w:jc w:val="center"/>
              <w:rPr>
                <w:color w:val="000000"/>
                <w:sz w:val="22"/>
                <w:szCs w:val="24"/>
                <w:lang w:val="en-US"/>
              </w:rPr>
            </w:pPr>
            <w:r>
              <w:rPr>
                <w:color w:val="000000"/>
                <w:sz w:val="22"/>
                <w:szCs w:val="24"/>
                <w:lang w:val="en-US"/>
              </w:rPr>
              <w:t>N.A.</w:t>
            </w:r>
          </w:p>
        </w:tc>
      </w:tr>
      <w:tr w:rsidR="00507F69" w:rsidRPr="00FF38A3" w:rsidTr="00BD1D94">
        <w:trPr>
          <w:gridAfter w:val="1"/>
          <w:wAfter w:w="450" w:type="dxa"/>
          <w:trHeight w:val="330"/>
          <w:jc w:val="center"/>
        </w:trPr>
        <w:tc>
          <w:tcPr>
            <w:tcW w:w="3330" w:type="dxa"/>
            <w:tcBorders>
              <w:top w:val="nil"/>
              <w:left w:val="single" w:sz="8" w:space="0" w:color="auto"/>
              <w:bottom w:val="single" w:sz="4" w:space="0" w:color="auto"/>
              <w:right w:val="nil"/>
            </w:tcBorders>
            <w:shd w:val="clear" w:color="auto" w:fill="auto"/>
            <w:noWrap/>
            <w:vAlign w:val="bottom"/>
            <w:hideMark/>
          </w:tcPr>
          <w:p w:rsidR="00507F69" w:rsidRPr="00FF38A3" w:rsidRDefault="00507F69" w:rsidP="00507F69">
            <w:pPr>
              <w:spacing w:after="0"/>
              <w:jc w:val="center"/>
              <w:rPr>
                <w:b/>
                <w:bCs/>
                <w:color w:val="000000"/>
                <w:sz w:val="22"/>
                <w:szCs w:val="24"/>
                <w:lang w:val="en-US"/>
              </w:rPr>
            </w:pPr>
            <w:r>
              <w:rPr>
                <w:b/>
                <w:bCs/>
                <w:color w:val="000000"/>
                <w:sz w:val="22"/>
                <w:szCs w:val="24"/>
                <w:lang w:val="en-US"/>
              </w:rPr>
              <w:t>Flat – 0%</w:t>
            </w:r>
          </w:p>
        </w:tc>
        <w:tc>
          <w:tcPr>
            <w:tcW w:w="1440" w:type="dxa"/>
            <w:tcBorders>
              <w:top w:val="nil"/>
              <w:left w:val="single" w:sz="8" w:space="0" w:color="auto"/>
              <w:bottom w:val="single" w:sz="4" w:space="0" w:color="auto"/>
              <w:right w:val="single" w:sz="4" w:space="0" w:color="auto"/>
            </w:tcBorders>
            <w:shd w:val="clear" w:color="auto" w:fill="auto"/>
            <w:noWrap/>
            <w:vAlign w:val="bottom"/>
          </w:tcPr>
          <w:p w:rsidR="00507F69" w:rsidRPr="00FF38A3" w:rsidRDefault="00507F69" w:rsidP="00507F69">
            <w:pPr>
              <w:spacing w:after="0"/>
              <w:jc w:val="center"/>
              <w:rPr>
                <w:color w:val="000000"/>
                <w:sz w:val="22"/>
                <w:szCs w:val="24"/>
                <w:lang w:val="en-US"/>
              </w:rPr>
            </w:pPr>
            <w:r>
              <w:rPr>
                <w:rFonts w:ascii="Calibri" w:hAnsi="Calibri" w:cs="Calibri"/>
                <w:color w:val="000000"/>
                <w:sz w:val="22"/>
                <w:szCs w:val="22"/>
              </w:rPr>
              <w:t>66%</w:t>
            </w:r>
          </w:p>
        </w:tc>
        <w:tc>
          <w:tcPr>
            <w:tcW w:w="1440" w:type="dxa"/>
            <w:tcBorders>
              <w:top w:val="nil"/>
              <w:left w:val="single" w:sz="8" w:space="0" w:color="auto"/>
              <w:bottom w:val="single" w:sz="4" w:space="0" w:color="auto"/>
              <w:right w:val="single" w:sz="4" w:space="0" w:color="auto"/>
            </w:tcBorders>
            <w:shd w:val="clear" w:color="auto" w:fill="auto"/>
            <w:vAlign w:val="bottom"/>
          </w:tcPr>
          <w:p w:rsidR="00507F69" w:rsidRPr="00FF38A3" w:rsidRDefault="00507F69" w:rsidP="00507F69">
            <w:pPr>
              <w:spacing w:after="0"/>
              <w:jc w:val="center"/>
              <w:rPr>
                <w:color w:val="000000"/>
                <w:sz w:val="22"/>
                <w:szCs w:val="24"/>
                <w:lang w:val="en-US"/>
              </w:rPr>
            </w:pPr>
            <w:r>
              <w:rPr>
                <w:rFonts w:ascii="Calibri" w:hAnsi="Calibri" w:cs="Calibri"/>
                <w:color w:val="000000"/>
                <w:sz w:val="22"/>
                <w:szCs w:val="22"/>
              </w:rPr>
              <w:t>78%</w:t>
            </w:r>
          </w:p>
        </w:tc>
        <w:tc>
          <w:tcPr>
            <w:tcW w:w="1710" w:type="dxa"/>
            <w:tcBorders>
              <w:top w:val="nil"/>
              <w:left w:val="single" w:sz="8" w:space="0" w:color="auto"/>
              <w:bottom w:val="single" w:sz="4" w:space="0" w:color="auto"/>
              <w:right w:val="single" w:sz="8" w:space="0" w:color="auto"/>
            </w:tcBorders>
            <w:shd w:val="clear" w:color="auto" w:fill="auto"/>
            <w:noWrap/>
            <w:vAlign w:val="bottom"/>
          </w:tcPr>
          <w:p w:rsidR="00507F69" w:rsidRPr="00FF38A3" w:rsidRDefault="00507F69" w:rsidP="00507F69">
            <w:pPr>
              <w:spacing w:after="0"/>
              <w:jc w:val="center"/>
              <w:rPr>
                <w:color w:val="000000"/>
                <w:sz w:val="22"/>
                <w:szCs w:val="24"/>
                <w:lang w:val="en-US"/>
              </w:rPr>
            </w:pPr>
            <w:r>
              <w:rPr>
                <w:rFonts w:ascii="Calibri" w:hAnsi="Calibri" w:cs="Calibri"/>
                <w:color w:val="000000"/>
                <w:sz w:val="22"/>
                <w:szCs w:val="22"/>
              </w:rPr>
              <w:t>100%</w:t>
            </w:r>
          </w:p>
        </w:tc>
        <w:tc>
          <w:tcPr>
            <w:tcW w:w="1710" w:type="dxa"/>
            <w:tcBorders>
              <w:top w:val="nil"/>
              <w:left w:val="single" w:sz="8" w:space="0" w:color="auto"/>
              <w:bottom w:val="single" w:sz="4" w:space="0" w:color="auto"/>
              <w:right w:val="single" w:sz="8" w:space="0" w:color="auto"/>
            </w:tcBorders>
            <w:shd w:val="clear" w:color="auto" w:fill="auto"/>
            <w:vAlign w:val="bottom"/>
          </w:tcPr>
          <w:p w:rsidR="00507F69" w:rsidRPr="00FF38A3" w:rsidRDefault="00507F69" w:rsidP="00507F69">
            <w:pPr>
              <w:spacing w:after="0"/>
              <w:jc w:val="center"/>
              <w:rPr>
                <w:color w:val="000000"/>
                <w:sz w:val="22"/>
                <w:szCs w:val="24"/>
                <w:lang w:val="en-US"/>
              </w:rPr>
            </w:pPr>
            <w:r>
              <w:rPr>
                <w:color w:val="000000"/>
                <w:sz w:val="22"/>
                <w:szCs w:val="24"/>
                <w:lang w:val="en-US"/>
              </w:rPr>
              <w:t>N.A.</w:t>
            </w:r>
          </w:p>
        </w:tc>
      </w:tr>
      <w:tr w:rsidR="006200D6" w:rsidRPr="00FF38A3" w:rsidTr="00BD1D94">
        <w:trPr>
          <w:gridAfter w:val="1"/>
          <w:wAfter w:w="45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6200D6" w:rsidRDefault="006200D6" w:rsidP="006200D6">
            <w:pPr>
              <w:spacing w:after="0"/>
              <w:jc w:val="center"/>
              <w:rPr>
                <w:b/>
                <w:bCs/>
                <w:color w:val="000000"/>
                <w:sz w:val="22"/>
                <w:szCs w:val="24"/>
                <w:lang w:val="en-US"/>
              </w:rPr>
            </w:pPr>
            <w:r>
              <w:rPr>
                <w:b/>
                <w:bCs/>
                <w:color w:val="000000"/>
                <w:sz w:val="22"/>
                <w:szCs w:val="24"/>
                <w:lang w:val="en-US"/>
              </w:rPr>
              <w:t>Classic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6200D6" w:rsidRDefault="006200D6" w:rsidP="006200D6">
            <w:pPr>
              <w:spacing w:after="0"/>
              <w:jc w:val="center"/>
              <w:rPr>
                <w:color w:val="000000"/>
                <w:sz w:val="22"/>
                <w:szCs w:val="24"/>
                <w:lang w:val="en-US"/>
              </w:rPr>
            </w:pPr>
            <w:r>
              <w:rPr>
                <w:rFonts w:ascii="Calibri" w:hAnsi="Calibri" w:cs="Calibri"/>
                <w:color w:val="000000"/>
                <w:sz w:val="22"/>
                <w:szCs w:val="22"/>
              </w:rPr>
              <w:t>52%</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6200D6" w:rsidRDefault="006200D6" w:rsidP="006200D6">
            <w:pPr>
              <w:spacing w:after="0"/>
              <w:jc w:val="center"/>
              <w:rPr>
                <w:color w:val="000000"/>
                <w:sz w:val="22"/>
                <w:szCs w:val="24"/>
                <w:lang w:val="en-US"/>
              </w:rPr>
            </w:pPr>
            <w:r>
              <w:rPr>
                <w:rFonts w:ascii="Calibri" w:hAnsi="Calibri" w:cs="Calibri"/>
                <w:color w:val="000000"/>
                <w:sz w:val="22"/>
                <w:szCs w:val="22"/>
              </w:rPr>
              <w:t>65%</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6200D6" w:rsidRDefault="006200D6" w:rsidP="006200D6">
            <w:pPr>
              <w:spacing w:after="0"/>
              <w:jc w:val="center"/>
              <w:rPr>
                <w:color w:val="000000"/>
                <w:sz w:val="22"/>
                <w:szCs w:val="24"/>
                <w:lang w:val="en-US"/>
              </w:rPr>
            </w:pPr>
            <w:r>
              <w:rPr>
                <w:color w:val="000000"/>
                <w:sz w:val="22"/>
                <w:szCs w:val="24"/>
                <w:lang w:val="en-US"/>
              </w:rPr>
              <w:t>N.A.</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6200D6" w:rsidRDefault="006200D6" w:rsidP="006200D6">
            <w:pPr>
              <w:spacing w:after="0"/>
              <w:jc w:val="center"/>
              <w:rPr>
                <w:color w:val="000000"/>
                <w:sz w:val="22"/>
                <w:szCs w:val="24"/>
                <w:lang w:val="en-US"/>
              </w:rPr>
            </w:pPr>
            <w:r>
              <w:rPr>
                <w:color w:val="000000"/>
                <w:sz w:val="22"/>
                <w:szCs w:val="24"/>
                <w:lang w:val="en-US"/>
              </w:rPr>
              <w:t>N.A.</w:t>
            </w:r>
          </w:p>
        </w:tc>
      </w:tr>
      <w:tr w:rsidR="006200D6" w:rsidRPr="00FF38A3" w:rsidTr="00BD1D94">
        <w:trPr>
          <w:gridAfter w:val="1"/>
          <w:wAfter w:w="450" w:type="dxa"/>
          <w:trHeight w:val="330"/>
          <w:jc w:val="center"/>
        </w:trPr>
        <w:tc>
          <w:tcPr>
            <w:tcW w:w="3330" w:type="dxa"/>
            <w:tcBorders>
              <w:top w:val="single" w:sz="4" w:space="0" w:color="auto"/>
              <w:left w:val="single" w:sz="8" w:space="0" w:color="auto"/>
              <w:bottom w:val="single" w:sz="4" w:space="0" w:color="auto"/>
              <w:right w:val="nil"/>
            </w:tcBorders>
            <w:shd w:val="clear" w:color="auto" w:fill="auto"/>
            <w:noWrap/>
            <w:vAlign w:val="bottom"/>
          </w:tcPr>
          <w:p w:rsidR="006200D6" w:rsidRDefault="006200D6" w:rsidP="006200D6">
            <w:pPr>
              <w:spacing w:after="0"/>
              <w:jc w:val="center"/>
              <w:rPr>
                <w:b/>
                <w:bCs/>
                <w:color w:val="000000"/>
                <w:sz w:val="22"/>
                <w:szCs w:val="24"/>
                <w:lang w:val="en-US"/>
              </w:rPr>
            </w:pPr>
            <w:r>
              <w:rPr>
                <w:b/>
                <w:bCs/>
                <w:color w:val="000000"/>
                <w:sz w:val="22"/>
                <w:szCs w:val="24"/>
                <w:lang w:val="en-US"/>
              </w:rPr>
              <w:t>Flat – 20%</w:t>
            </w:r>
          </w:p>
        </w:tc>
        <w:tc>
          <w:tcPr>
            <w:tcW w:w="14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6200D6" w:rsidRDefault="006200D6" w:rsidP="006200D6">
            <w:pPr>
              <w:spacing w:after="0"/>
              <w:jc w:val="center"/>
              <w:rPr>
                <w:color w:val="000000"/>
                <w:sz w:val="22"/>
                <w:szCs w:val="24"/>
                <w:lang w:val="en-US"/>
              </w:rPr>
            </w:pPr>
            <w:r>
              <w:rPr>
                <w:rFonts w:ascii="Calibri" w:hAnsi="Calibri" w:cs="Calibri"/>
                <w:color w:val="000000"/>
                <w:sz w:val="22"/>
                <w:szCs w:val="22"/>
              </w:rPr>
              <w:t>75%</w:t>
            </w:r>
          </w:p>
        </w:tc>
        <w:tc>
          <w:tcPr>
            <w:tcW w:w="1440" w:type="dxa"/>
            <w:tcBorders>
              <w:top w:val="single" w:sz="4" w:space="0" w:color="auto"/>
              <w:left w:val="single" w:sz="8" w:space="0" w:color="auto"/>
              <w:bottom w:val="single" w:sz="4" w:space="0" w:color="auto"/>
              <w:right w:val="single" w:sz="4" w:space="0" w:color="auto"/>
            </w:tcBorders>
            <w:shd w:val="clear" w:color="auto" w:fill="auto"/>
            <w:vAlign w:val="bottom"/>
          </w:tcPr>
          <w:p w:rsidR="006200D6" w:rsidRDefault="006200D6" w:rsidP="006200D6">
            <w:pPr>
              <w:spacing w:after="0"/>
              <w:jc w:val="center"/>
              <w:rPr>
                <w:color w:val="000000"/>
                <w:sz w:val="22"/>
                <w:szCs w:val="24"/>
                <w:lang w:val="en-US"/>
              </w:rPr>
            </w:pPr>
            <w:r>
              <w:rPr>
                <w:rFonts w:ascii="Calibri" w:hAnsi="Calibri" w:cs="Calibri"/>
                <w:color w:val="000000"/>
                <w:sz w:val="22"/>
                <w:szCs w:val="22"/>
              </w:rPr>
              <w:t>83%</w:t>
            </w:r>
          </w:p>
        </w:tc>
        <w:tc>
          <w:tcPr>
            <w:tcW w:w="1710" w:type="dxa"/>
            <w:tcBorders>
              <w:top w:val="single" w:sz="4" w:space="0" w:color="auto"/>
              <w:left w:val="single" w:sz="8" w:space="0" w:color="auto"/>
              <w:bottom w:val="single" w:sz="4" w:space="0" w:color="auto"/>
              <w:right w:val="single" w:sz="8" w:space="0" w:color="auto"/>
            </w:tcBorders>
            <w:shd w:val="clear" w:color="auto" w:fill="auto"/>
            <w:noWrap/>
            <w:vAlign w:val="bottom"/>
          </w:tcPr>
          <w:p w:rsidR="006200D6" w:rsidRDefault="006200D6" w:rsidP="006200D6">
            <w:pPr>
              <w:spacing w:after="0"/>
              <w:jc w:val="center"/>
              <w:rPr>
                <w:color w:val="000000"/>
                <w:sz w:val="22"/>
                <w:szCs w:val="24"/>
                <w:lang w:val="en-US"/>
              </w:rPr>
            </w:pPr>
            <w:r>
              <w:rPr>
                <w:color w:val="000000"/>
                <w:sz w:val="22"/>
                <w:szCs w:val="24"/>
                <w:lang w:val="en-US"/>
              </w:rPr>
              <w:t>N.A.</w:t>
            </w:r>
          </w:p>
        </w:tc>
        <w:tc>
          <w:tcPr>
            <w:tcW w:w="1710" w:type="dxa"/>
            <w:tcBorders>
              <w:top w:val="single" w:sz="4" w:space="0" w:color="auto"/>
              <w:left w:val="single" w:sz="8" w:space="0" w:color="auto"/>
              <w:bottom w:val="single" w:sz="4" w:space="0" w:color="auto"/>
              <w:right w:val="single" w:sz="8" w:space="0" w:color="auto"/>
            </w:tcBorders>
            <w:shd w:val="clear" w:color="auto" w:fill="auto"/>
            <w:vAlign w:val="bottom"/>
          </w:tcPr>
          <w:p w:rsidR="006200D6" w:rsidRDefault="006200D6" w:rsidP="006200D6">
            <w:pPr>
              <w:spacing w:after="0"/>
              <w:jc w:val="center"/>
              <w:rPr>
                <w:color w:val="000000"/>
                <w:sz w:val="22"/>
                <w:szCs w:val="24"/>
                <w:lang w:val="en-US"/>
              </w:rPr>
            </w:pPr>
            <w:r>
              <w:rPr>
                <w:color w:val="000000"/>
                <w:sz w:val="22"/>
                <w:szCs w:val="24"/>
                <w:lang w:val="en-US"/>
              </w:rPr>
              <w:t>N.A.</w:t>
            </w:r>
          </w:p>
        </w:tc>
      </w:tr>
    </w:tbl>
    <w:p w:rsidR="00507F69" w:rsidRPr="004E6DA4" w:rsidRDefault="00507F69" w:rsidP="004E6DA4">
      <w:pPr>
        <w:rPr>
          <w:b/>
          <w:i/>
          <w:lang w:val="en-US"/>
        </w:rPr>
      </w:pPr>
    </w:p>
    <w:p w:rsidR="00F45B1C" w:rsidRPr="00742562" w:rsidRDefault="00F45B1C" w:rsidP="00F45B1C">
      <w:pPr>
        <w:rPr>
          <w:lang w:val="en-US"/>
        </w:rPr>
      </w:pPr>
    </w:p>
    <w:p w:rsidR="006A456C" w:rsidRDefault="006A456C" w:rsidP="006A456C">
      <w:pPr>
        <w:keepNext/>
        <w:jc w:val="center"/>
      </w:pPr>
      <w:r w:rsidRPr="006A456C">
        <w:rPr>
          <w:noProof/>
        </w:rPr>
        <w:lastRenderedPageBreak/>
        <w:drawing>
          <wp:inline distT="0" distB="0" distL="0" distR="0" wp14:anchorId="3F2F2CBF" wp14:editId="3D5D3D16">
            <wp:extent cx="4882896" cy="3657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6D5085" w:rsidRDefault="006A456C" w:rsidP="006A456C">
      <w:pPr>
        <w:pStyle w:val="Caption"/>
        <w:jc w:val="center"/>
      </w:pPr>
      <w:r>
        <w:t xml:space="preserve">Figure </w:t>
      </w:r>
      <w:r>
        <w:fldChar w:fldCharType="begin"/>
      </w:r>
      <w:r>
        <w:instrText xml:space="preserve"> SEQ Figure \* ARABIC </w:instrText>
      </w:r>
      <w:r>
        <w:fldChar w:fldCharType="separate"/>
      </w:r>
      <w:r w:rsidR="007C5FAC">
        <w:rPr>
          <w:noProof/>
        </w:rPr>
        <w:t>15</w:t>
      </w:r>
      <w:r>
        <w:fldChar w:fldCharType="end"/>
      </w:r>
      <w:r>
        <w:t>.</w:t>
      </w:r>
      <w:r w:rsidRPr="006A456C">
        <w:t xml:space="preserve"> </w:t>
      </w:r>
      <w:r w:rsidRPr="00080CEA">
        <w:t xml:space="preserve">SINR CDF comparison in </w:t>
      </w:r>
      <w:proofErr w:type="spellStart"/>
      <w:r w:rsidRPr="00080CEA">
        <w:t>UM</w:t>
      </w:r>
      <w:r>
        <w:t>a</w:t>
      </w:r>
      <w:proofErr w:type="spellEnd"/>
      <w:r w:rsidRPr="00080CEA">
        <w:t xml:space="preserve"> - </w:t>
      </w:r>
      <w:r>
        <w:t>U</w:t>
      </w:r>
      <w:r w:rsidRPr="00080CEA">
        <w:t xml:space="preserve">L - between spherical and semi-spherical coverage either for Classic approach (continuous line) and Flat approach (dashed line) – </w:t>
      </w:r>
      <w:r>
        <w:t>all</w:t>
      </w:r>
      <w:r w:rsidRPr="00080CEA">
        <w:t xml:space="preserve"> UEs are </w:t>
      </w:r>
      <w:r>
        <w:t>outdoor</w:t>
      </w:r>
      <w:r w:rsidRPr="00080CEA">
        <w:t xml:space="preserve"> – ISD = </w:t>
      </w:r>
      <w:r>
        <w:t>3</w:t>
      </w:r>
      <w:r w:rsidRPr="00080CEA">
        <w:t>00 m</w:t>
      </w:r>
    </w:p>
    <w:p w:rsidR="006A456C" w:rsidRDefault="006A456C" w:rsidP="006A456C"/>
    <w:p w:rsidR="006A456C" w:rsidRDefault="006A456C" w:rsidP="006A456C">
      <w:pPr>
        <w:keepNext/>
        <w:jc w:val="center"/>
      </w:pPr>
      <w:r w:rsidRPr="006A456C">
        <w:rPr>
          <w:noProof/>
        </w:rPr>
        <w:drawing>
          <wp:inline distT="0" distB="0" distL="0" distR="0" wp14:anchorId="65142CE6" wp14:editId="7BCCF849">
            <wp:extent cx="4882896" cy="3657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6A456C" w:rsidRDefault="006A456C" w:rsidP="006A456C">
      <w:pPr>
        <w:pStyle w:val="Caption"/>
        <w:jc w:val="center"/>
      </w:pPr>
      <w:r>
        <w:t xml:space="preserve">Figure </w:t>
      </w:r>
      <w:r>
        <w:fldChar w:fldCharType="begin"/>
      </w:r>
      <w:r>
        <w:instrText xml:space="preserve"> SEQ Figure \* ARABIC </w:instrText>
      </w:r>
      <w:r>
        <w:fldChar w:fldCharType="separate"/>
      </w:r>
      <w:r w:rsidR="007C5FAC">
        <w:rPr>
          <w:noProof/>
        </w:rPr>
        <w:t>16</w:t>
      </w:r>
      <w:r>
        <w:fldChar w:fldCharType="end"/>
      </w:r>
      <w:r>
        <w:t>.</w:t>
      </w:r>
      <w:r w:rsidRPr="006A456C">
        <w:t xml:space="preserve"> </w:t>
      </w:r>
      <w:r w:rsidRPr="00080CEA">
        <w:t xml:space="preserve">SINR CDF comparison in </w:t>
      </w:r>
      <w:proofErr w:type="spellStart"/>
      <w:r w:rsidRPr="00080CEA">
        <w:t>UM</w:t>
      </w:r>
      <w:r>
        <w:t>a</w:t>
      </w:r>
      <w:proofErr w:type="spellEnd"/>
      <w:r w:rsidRPr="00080CEA">
        <w:t xml:space="preserve"> - </w:t>
      </w:r>
      <w:r>
        <w:t>U</w:t>
      </w:r>
      <w:r w:rsidRPr="00080CEA">
        <w:t xml:space="preserve">L - between spherical and semi-spherical coverage either for Classic approach (continuous line) and Flat approach (dashed line) – </w:t>
      </w:r>
      <w:r>
        <w:t>all</w:t>
      </w:r>
      <w:r w:rsidRPr="00080CEA">
        <w:t xml:space="preserve"> UEs are </w:t>
      </w:r>
      <w:r>
        <w:t>outdoor</w:t>
      </w:r>
      <w:r w:rsidRPr="00080CEA">
        <w:t xml:space="preserve"> – ISD = </w:t>
      </w:r>
      <w:r w:rsidR="00E811E6">
        <w:t>4</w:t>
      </w:r>
      <w:r w:rsidRPr="00080CEA">
        <w:t>00 m</w:t>
      </w:r>
    </w:p>
    <w:p w:rsidR="00E811E6" w:rsidRDefault="00E811E6" w:rsidP="00E811E6">
      <w:pPr>
        <w:keepNext/>
        <w:jc w:val="center"/>
      </w:pPr>
      <w:r w:rsidRPr="00E811E6">
        <w:rPr>
          <w:noProof/>
        </w:rPr>
        <w:lastRenderedPageBreak/>
        <w:drawing>
          <wp:inline distT="0" distB="0" distL="0" distR="0" wp14:anchorId="659D30EA" wp14:editId="304B6876">
            <wp:extent cx="4882896" cy="3657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E811E6" w:rsidRPr="00E811E6" w:rsidRDefault="00E811E6" w:rsidP="00E811E6">
      <w:pPr>
        <w:pStyle w:val="Caption"/>
        <w:jc w:val="center"/>
      </w:pPr>
      <w:r>
        <w:t xml:space="preserve">Figure </w:t>
      </w:r>
      <w:r>
        <w:fldChar w:fldCharType="begin"/>
      </w:r>
      <w:r>
        <w:instrText xml:space="preserve"> SEQ Figure \* ARABIC </w:instrText>
      </w:r>
      <w:r>
        <w:fldChar w:fldCharType="separate"/>
      </w:r>
      <w:r w:rsidR="007C5FAC">
        <w:rPr>
          <w:noProof/>
        </w:rPr>
        <w:t>17</w:t>
      </w:r>
      <w:r>
        <w:fldChar w:fldCharType="end"/>
      </w:r>
      <w:r>
        <w:t>.</w:t>
      </w:r>
      <w:r w:rsidRPr="00E811E6">
        <w:t xml:space="preserve"> </w:t>
      </w:r>
      <w:r w:rsidRPr="00080CEA">
        <w:t xml:space="preserve">SINR CDF comparison in </w:t>
      </w:r>
      <w:proofErr w:type="spellStart"/>
      <w:r w:rsidRPr="00080CEA">
        <w:t>UM</w:t>
      </w:r>
      <w:r>
        <w:t>a</w:t>
      </w:r>
      <w:proofErr w:type="spellEnd"/>
      <w:r w:rsidRPr="00080CEA">
        <w:t xml:space="preserve"> - </w:t>
      </w:r>
      <w:r>
        <w:t>U</w:t>
      </w:r>
      <w:r w:rsidRPr="00080CEA">
        <w:t xml:space="preserve">L - between spherical and semi-spherical coverage either for Classic approach (continuous line) and Flat approach (dashed line) – </w:t>
      </w:r>
      <w:r>
        <w:t>20% of</w:t>
      </w:r>
      <w:r w:rsidRPr="00080CEA">
        <w:t xml:space="preserve"> UEs</w:t>
      </w:r>
      <w:r>
        <w:t xml:space="preserve"> are indoor</w:t>
      </w:r>
      <w:r w:rsidRPr="00080CEA">
        <w:t xml:space="preserve"> – ISD = </w:t>
      </w:r>
      <w:r>
        <w:t>3</w:t>
      </w:r>
      <w:r w:rsidRPr="00080CEA">
        <w:t>00m</w:t>
      </w:r>
    </w:p>
    <w:p w:rsidR="006D5085" w:rsidRDefault="006D5085" w:rsidP="00765F17"/>
    <w:p w:rsidR="00E811E6" w:rsidRDefault="00E811E6" w:rsidP="00E811E6">
      <w:pPr>
        <w:keepNext/>
        <w:jc w:val="center"/>
      </w:pPr>
      <w:r w:rsidRPr="00E811E6">
        <w:rPr>
          <w:noProof/>
        </w:rPr>
        <w:drawing>
          <wp:inline distT="0" distB="0" distL="0" distR="0" wp14:anchorId="6959C6AA" wp14:editId="5C9D8989">
            <wp:extent cx="4882896" cy="3657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2896" cy="3657600"/>
                    </a:xfrm>
                    <a:prstGeom prst="rect">
                      <a:avLst/>
                    </a:prstGeom>
                    <a:noFill/>
                    <a:ln>
                      <a:noFill/>
                    </a:ln>
                  </pic:spPr>
                </pic:pic>
              </a:graphicData>
            </a:graphic>
          </wp:inline>
        </w:drawing>
      </w:r>
    </w:p>
    <w:p w:rsidR="00E811E6" w:rsidRPr="00765F17" w:rsidRDefault="00E811E6" w:rsidP="009A790A">
      <w:pPr>
        <w:pStyle w:val="Caption"/>
        <w:jc w:val="center"/>
      </w:pPr>
      <w:r>
        <w:t xml:space="preserve">Figure </w:t>
      </w:r>
      <w:r>
        <w:fldChar w:fldCharType="begin"/>
      </w:r>
      <w:r>
        <w:instrText xml:space="preserve"> SEQ Figure \* ARABIC </w:instrText>
      </w:r>
      <w:r>
        <w:fldChar w:fldCharType="separate"/>
      </w:r>
      <w:r w:rsidR="007C5FAC">
        <w:rPr>
          <w:noProof/>
        </w:rPr>
        <w:t>18</w:t>
      </w:r>
      <w:r>
        <w:fldChar w:fldCharType="end"/>
      </w:r>
      <w:r>
        <w:t xml:space="preserve">. </w:t>
      </w:r>
      <w:r w:rsidRPr="00080CEA">
        <w:t xml:space="preserve">SINR CDF comparison in </w:t>
      </w:r>
      <w:proofErr w:type="spellStart"/>
      <w:r w:rsidRPr="00080CEA">
        <w:t>UM</w:t>
      </w:r>
      <w:r>
        <w:t>a</w:t>
      </w:r>
      <w:proofErr w:type="spellEnd"/>
      <w:r w:rsidRPr="00080CEA">
        <w:t xml:space="preserve"> - </w:t>
      </w:r>
      <w:r>
        <w:t>U</w:t>
      </w:r>
      <w:r w:rsidRPr="00080CEA">
        <w:t xml:space="preserve">L - between spherical and semi-spherical coverage either for Classic approach (continuous line) and Flat approach (dashed line) – </w:t>
      </w:r>
      <w:r>
        <w:t>20% of</w:t>
      </w:r>
      <w:r w:rsidRPr="00080CEA">
        <w:t xml:space="preserve"> UEs</w:t>
      </w:r>
      <w:r>
        <w:t xml:space="preserve"> are indoor</w:t>
      </w:r>
      <w:r w:rsidRPr="00080CEA">
        <w:t xml:space="preserve"> – ISD = </w:t>
      </w:r>
      <w:r>
        <w:t>4</w:t>
      </w:r>
      <w:r w:rsidRPr="00080CEA">
        <w:t>00m</w:t>
      </w:r>
      <w:r w:rsidR="00B42DE0">
        <w:t>.</w:t>
      </w:r>
    </w:p>
    <w:p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rsidR="003A7BB8" w:rsidRDefault="00F618BB" w:rsidP="005B4897">
      <w:pPr>
        <w:jc w:val="both"/>
      </w:pPr>
      <w:r>
        <w:t>In this contribution</w:t>
      </w:r>
      <w:r w:rsidR="0067595E">
        <w:t>,</w:t>
      </w:r>
      <w:r>
        <w:t xml:space="preserve"> we analysed the impact of UE spherical coverage characteristics on </w:t>
      </w:r>
      <w:r w:rsidR="00C26792">
        <w:t xml:space="preserve">the </w:t>
      </w:r>
      <w:r>
        <w:t>DL and UL NR network performance in 28GHz band. We adopt</w:t>
      </w:r>
      <w:r w:rsidR="0067595E">
        <w:t>ed a simple model to compare the following two scenarios:</w:t>
      </w:r>
    </w:p>
    <w:p w:rsidR="0067595E" w:rsidRDefault="0067595E" w:rsidP="001F2E0B">
      <w:pPr>
        <w:pStyle w:val="ListParagraph"/>
        <w:numPr>
          <w:ilvl w:val="0"/>
          <w:numId w:val="48"/>
        </w:numPr>
        <w:jc w:val="both"/>
      </w:pPr>
      <w:r>
        <w:t>A configuration in which UE has only one panel available for transmission (back or front)</w:t>
      </w:r>
    </w:p>
    <w:p w:rsidR="0067595E" w:rsidRDefault="0067595E" w:rsidP="001F2E0B">
      <w:pPr>
        <w:pStyle w:val="ListParagraph"/>
        <w:numPr>
          <w:ilvl w:val="0"/>
          <w:numId w:val="48"/>
        </w:numPr>
        <w:jc w:val="both"/>
      </w:pPr>
      <w:r>
        <w:t>A configuration in which UE can select the best of the two panels (back and front)</w:t>
      </w:r>
    </w:p>
    <w:p w:rsidR="0067595E" w:rsidRDefault="00C26792">
      <w:pPr>
        <w:jc w:val="both"/>
      </w:pPr>
      <w:r>
        <w:t>All results show a</w:t>
      </w:r>
      <w:r w:rsidR="0067595E">
        <w:t xml:space="preserve"> performance</w:t>
      </w:r>
      <w:r>
        <w:t xml:space="preserve"> hit when a single panel is adopted</w:t>
      </w:r>
      <w:r w:rsidR="0067595E">
        <w:t>. The following observations can be made:</w:t>
      </w:r>
    </w:p>
    <w:p w:rsidR="0067595E" w:rsidRDefault="0067595E" w:rsidP="001F2E0B">
      <w:pPr>
        <w:pStyle w:val="ListParagraph"/>
        <w:numPr>
          <w:ilvl w:val="0"/>
          <w:numId w:val="49"/>
        </w:numPr>
        <w:jc w:val="both"/>
      </w:pPr>
      <w:r>
        <w:t>Larger degradation is observed in UL compared to DL. We assumed peak EIRP=25.2dBm. With lower EIRP the degradation due to a single panel configuration is even higher.</w:t>
      </w:r>
    </w:p>
    <w:p w:rsidR="0067595E" w:rsidRDefault="0067595E" w:rsidP="001F2E0B">
      <w:pPr>
        <w:pStyle w:val="ListParagraph"/>
        <w:numPr>
          <w:ilvl w:val="0"/>
          <w:numId w:val="49"/>
        </w:numPr>
        <w:jc w:val="both"/>
      </w:pPr>
      <w:r>
        <w:t>Both 50% and 5%-tile throughput points are affected.</w:t>
      </w:r>
    </w:p>
    <w:p w:rsidR="0067595E" w:rsidRDefault="0067595E" w:rsidP="001F2E0B">
      <w:pPr>
        <w:pStyle w:val="ListParagraph"/>
        <w:numPr>
          <w:ilvl w:val="0"/>
          <w:numId w:val="49"/>
        </w:numPr>
        <w:jc w:val="both"/>
      </w:pPr>
      <w:r>
        <w:t>In many scenarios, significant UL cell edge performance degradation is observed, i.e. UL coverage is impacted in the scenarios analysed.</w:t>
      </w:r>
    </w:p>
    <w:p w:rsidR="0067595E" w:rsidRDefault="0067595E" w:rsidP="001F2E0B">
      <w:pPr>
        <w:pStyle w:val="ListParagraph"/>
        <w:numPr>
          <w:ilvl w:val="0"/>
          <w:numId w:val="49"/>
        </w:numPr>
        <w:jc w:val="both"/>
      </w:pPr>
      <w:r>
        <w:t>If a single panel (or semi-spherical coverage)</w:t>
      </w:r>
      <w:r w:rsidR="00EC3BFB">
        <w:t xml:space="preserve"> is considered</w:t>
      </w:r>
      <w:r>
        <w:t xml:space="preserve">, it is important to characterize </w:t>
      </w:r>
      <w:r w:rsidR="00963183">
        <w:t xml:space="preserve">antenna </w:t>
      </w:r>
      <w:bookmarkStart w:id="24" w:name="_GoBack"/>
      <w:bookmarkEnd w:id="24"/>
      <w:r>
        <w:t xml:space="preserve">radiation in the semi-sphere out-of-coverage. In our results, we see a significant performance variation depending on the radiation pattern in the back side. Even the more optimistic pattern (consistent with TR 38.803) shows degradation when </w:t>
      </w:r>
      <w:r w:rsidR="006C7E1E">
        <w:t xml:space="preserve">the configuration with </w:t>
      </w:r>
      <w:r>
        <w:t>single panel is adopted.</w:t>
      </w:r>
    </w:p>
    <w:p w:rsidR="00C37EF5" w:rsidRPr="00F33FEA" w:rsidRDefault="00C37EF5" w:rsidP="00C37EF5">
      <w:pPr>
        <w:jc w:val="both"/>
      </w:pPr>
      <w:r>
        <w:t>Based on the results collected and pres</w:t>
      </w:r>
      <w:r w:rsidR="009A790A">
        <w:t xml:space="preserve">ented so far, our recommendation from system level perspective is to define an RF requirement able to guarantee a minimum UE RF performance over the entire sphere. Lack of such requirement could impact the overall NR performance in mmW deployments. </w:t>
      </w:r>
    </w:p>
    <w:p w:rsidR="00A9574F" w:rsidRDefault="00A9574F" w:rsidP="00A9574F">
      <w:pPr>
        <w:pStyle w:val="Heading1"/>
        <w:numPr>
          <w:ilvl w:val="0"/>
          <w:numId w:val="0"/>
        </w:numPr>
        <w:tabs>
          <w:tab w:val="num" w:pos="432"/>
        </w:tabs>
        <w:ind w:left="432" w:hanging="432"/>
        <w:jc w:val="both"/>
        <w:rPr>
          <w:lang w:val="en-US"/>
        </w:rPr>
      </w:pPr>
      <w:r>
        <w:rPr>
          <w:lang w:val="en-US"/>
        </w:rPr>
        <w:t>Reference</w:t>
      </w:r>
    </w:p>
    <w:p w:rsidR="00A9574F" w:rsidRPr="001F2E0B" w:rsidRDefault="00A9574F" w:rsidP="00A9574F">
      <w:pPr>
        <w:pStyle w:val="ListParagraph"/>
        <w:numPr>
          <w:ilvl w:val="0"/>
          <w:numId w:val="2"/>
        </w:numPr>
        <w:spacing w:after="160" w:line="256" w:lineRule="auto"/>
        <w:jc w:val="both"/>
        <w:textAlignment w:val="auto"/>
        <w:rPr>
          <w:lang w:val="en-US"/>
        </w:rPr>
      </w:pPr>
      <w:bookmarkStart w:id="25" w:name="_Ref489890177"/>
      <w:bookmarkStart w:id="26" w:name="_Ref503262415"/>
      <w:r w:rsidRPr="00052E3E">
        <w:t>R4-1714455</w:t>
      </w:r>
      <w:bookmarkEnd w:id="25"/>
      <w:r>
        <w:t>, “</w:t>
      </w:r>
      <w:r w:rsidRPr="00783CB5">
        <w:rPr>
          <w:lang w:val="en-US"/>
        </w:rPr>
        <w:t>WF on spherical coverage in FR2</w:t>
      </w:r>
      <w:r>
        <w:t xml:space="preserve">”, </w:t>
      </w:r>
      <w:r w:rsidRPr="00052E3E">
        <w:t xml:space="preserve">Samsung, Apple, LGE, Intel, </w:t>
      </w:r>
      <w:proofErr w:type="spellStart"/>
      <w:r w:rsidRPr="00052E3E">
        <w:t>Oppo</w:t>
      </w:r>
      <w:proofErr w:type="spellEnd"/>
      <w:r w:rsidRPr="00052E3E">
        <w:t xml:space="preserve">, Xiaomi, Vivo, </w:t>
      </w:r>
      <w:proofErr w:type="spellStart"/>
      <w:r w:rsidRPr="00052E3E">
        <w:t>MediaTek</w:t>
      </w:r>
      <w:proofErr w:type="spellEnd"/>
      <w:r>
        <w:t>.</w:t>
      </w:r>
      <w:bookmarkEnd w:id="26"/>
    </w:p>
    <w:p w:rsidR="003B575B" w:rsidRDefault="003B575B" w:rsidP="00E538A6">
      <w:pPr>
        <w:pStyle w:val="ListParagraph"/>
        <w:numPr>
          <w:ilvl w:val="0"/>
          <w:numId w:val="2"/>
        </w:numPr>
        <w:spacing w:after="160" w:line="256" w:lineRule="auto"/>
        <w:jc w:val="both"/>
        <w:textAlignment w:val="auto"/>
        <w:rPr>
          <w:lang w:val="en-US"/>
        </w:rPr>
      </w:pPr>
      <w:bookmarkStart w:id="27" w:name="_Ref503776022"/>
      <w:r>
        <w:rPr>
          <w:lang w:val="en-US"/>
        </w:rPr>
        <w:t>R4-180</w:t>
      </w:r>
      <w:r w:rsidR="00E538A6">
        <w:rPr>
          <w:lang w:val="en-US"/>
        </w:rPr>
        <w:t>0861</w:t>
      </w:r>
      <w:r>
        <w:rPr>
          <w:lang w:val="en-US"/>
        </w:rPr>
        <w:t>, “</w:t>
      </w:r>
      <w:r w:rsidR="00E538A6" w:rsidRPr="00E538A6">
        <w:rPr>
          <w:lang w:val="en-US"/>
        </w:rPr>
        <w:t>Simulation assumptions for UE max EIRP and spherical coverage evaluation</w:t>
      </w:r>
      <w:r>
        <w:rPr>
          <w:lang w:val="en-US"/>
        </w:rPr>
        <w:t>”, Qualcomm Incorporated.</w:t>
      </w:r>
      <w:bookmarkEnd w:id="27"/>
    </w:p>
    <w:p w:rsidR="00B66E2C" w:rsidRDefault="00B66E2C" w:rsidP="00B66E2C">
      <w:pPr>
        <w:pStyle w:val="ListParagraph"/>
        <w:numPr>
          <w:ilvl w:val="0"/>
          <w:numId w:val="2"/>
        </w:numPr>
        <w:jc w:val="both"/>
        <w:rPr>
          <w:lang w:val="en-US"/>
        </w:rPr>
      </w:pPr>
      <w:bookmarkStart w:id="28" w:name="_Ref503776550"/>
      <w:r>
        <w:rPr>
          <w:lang w:val="en-US"/>
        </w:rPr>
        <w:t>3GPP TR 38.803, “</w:t>
      </w:r>
      <w:r w:rsidRPr="00EF34CA">
        <w:rPr>
          <w:lang w:val="en-US"/>
        </w:rPr>
        <w:t>Study on new radio access technology: Radio Frequency (RF) and co-existence aspects</w:t>
      </w:r>
      <w:r>
        <w:rPr>
          <w:lang w:val="en-US"/>
        </w:rPr>
        <w:t>”, V14.0.0.</w:t>
      </w:r>
      <w:bookmarkEnd w:id="28"/>
    </w:p>
    <w:p w:rsidR="007C5FAC" w:rsidRDefault="007C5FAC" w:rsidP="007C5FAC">
      <w:pPr>
        <w:pStyle w:val="ListParagraph"/>
        <w:numPr>
          <w:ilvl w:val="0"/>
          <w:numId w:val="2"/>
        </w:numPr>
        <w:jc w:val="both"/>
        <w:rPr>
          <w:lang w:val="en-US"/>
        </w:rPr>
      </w:pPr>
      <w:bookmarkStart w:id="29" w:name="_Ref503533875"/>
      <w:r w:rsidRPr="00C5504C">
        <w:rPr>
          <w:lang w:val="en-US"/>
        </w:rPr>
        <w:t xml:space="preserve">“Statistical Blockage Modeling and Robustness of Beamforming in </w:t>
      </w:r>
      <w:proofErr w:type="spellStart"/>
      <w:r w:rsidRPr="00C5504C">
        <w:rPr>
          <w:lang w:val="en-US"/>
        </w:rPr>
        <w:t>Millmeter</w:t>
      </w:r>
      <w:proofErr w:type="spellEnd"/>
      <w:r w:rsidRPr="00C5504C">
        <w:rPr>
          <w:lang w:val="en-US"/>
        </w:rPr>
        <w:t xml:space="preserve"> Wave Systems”, Vasanthan Raghavan, </w:t>
      </w:r>
      <w:proofErr w:type="spellStart"/>
      <w:r w:rsidRPr="00C5504C">
        <w:rPr>
          <w:lang w:val="en-US"/>
        </w:rPr>
        <w:t>Lida</w:t>
      </w:r>
      <w:proofErr w:type="spellEnd"/>
      <w:r w:rsidRPr="00C5504C">
        <w:rPr>
          <w:lang w:val="en-US"/>
        </w:rPr>
        <w:t xml:space="preserve"> </w:t>
      </w:r>
      <w:proofErr w:type="spellStart"/>
      <w:r w:rsidRPr="00C5504C">
        <w:rPr>
          <w:lang w:val="en-US"/>
        </w:rPr>
        <w:t>Akhoondzadeh-Asl</w:t>
      </w:r>
      <w:proofErr w:type="spellEnd"/>
      <w:r w:rsidRPr="00C5504C">
        <w:rPr>
          <w:lang w:val="en-US"/>
        </w:rPr>
        <w:t xml:space="preserve">, Vladimir </w:t>
      </w:r>
      <w:proofErr w:type="spellStart"/>
      <w:r w:rsidRPr="00C5504C">
        <w:rPr>
          <w:lang w:val="en-US"/>
        </w:rPr>
        <w:t>Podshivalov</w:t>
      </w:r>
      <w:proofErr w:type="spellEnd"/>
      <w:r w:rsidRPr="00C5504C">
        <w:rPr>
          <w:lang w:val="en-US"/>
        </w:rPr>
        <w:t xml:space="preserve">, </w:t>
      </w:r>
      <w:proofErr w:type="spellStart"/>
      <w:r w:rsidRPr="00C5504C">
        <w:rPr>
          <w:lang w:val="en-US"/>
        </w:rPr>
        <w:t>Joakim</w:t>
      </w:r>
      <w:proofErr w:type="spellEnd"/>
      <w:r w:rsidRPr="00C5504C">
        <w:rPr>
          <w:lang w:val="en-US"/>
        </w:rPr>
        <w:t xml:space="preserve"> </w:t>
      </w:r>
      <w:proofErr w:type="spellStart"/>
      <w:r w:rsidRPr="00C5504C">
        <w:rPr>
          <w:lang w:val="en-US"/>
        </w:rPr>
        <w:t>Hulten</w:t>
      </w:r>
      <w:proofErr w:type="spellEnd"/>
      <w:r w:rsidRPr="00C5504C">
        <w:rPr>
          <w:lang w:val="en-US"/>
        </w:rPr>
        <w:t>,</w:t>
      </w:r>
      <w:r>
        <w:rPr>
          <w:lang w:val="en-US"/>
        </w:rPr>
        <w:t xml:space="preserve"> </w:t>
      </w:r>
      <w:r w:rsidRPr="00C5504C">
        <w:rPr>
          <w:lang w:val="en-US"/>
        </w:rPr>
        <w:t xml:space="preserve">M. Ali Tassoudji, Ozge </w:t>
      </w:r>
      <w:proofErr w:type="spellStart"/>
      <w:r w:rsidRPr="00C5504C">
        <w:rPr>
          <w:lang w:val="en-US"/>
        </w:rPr>
        <w:t>Hizir</w:t>
      </w:r>
      <w:proofErr w:type="spellEnd"/>
      <w:r w:rsidRPr="00C5504C">
        <w:rPr>
          <w:lang w:val="en-US"/>
        </w:rPr>
        <w:t xml:space="preserve"> Koymen, Ashwin Sampath, and Junyi Li</w:t>
      </w:r>
      <w:r>
        <w:rPr>
          <w:lang w:val="en-US"/>
        </w:rPr>
        <w:t xml:space="preserve">. Submitted to </w:t>
      </w:r>
      <w:r w:rsidRPr="00C5504C">
        <w:rPr>
          <w:i/>
          <w:lang w:val="en-US"/>
        </w:rPr>
        <w:t>IEEE Transactions on Antennas and Propagation</w:t>
      </w:r>
      <w:r>
        <w:rPr>
          <w:lang w:val="en-US"/>
        </w:rPr>
        <w:t xml:space="preserve">, available at: </w:t>
      </w:r>
      <w:hyperlink r:id="rId26" w:history="1">
        <w:r w:rsidRPr="004C2081">
          <w:rPr>
            <w:rStyle w:val="Hyperlink"/>
            <w:lang w:val="en-US"/>
          </w:rPr>
          <w:t>https://arxiv.org/abs/1801.03346</w:t>
        </w:r>
      </w:hyperlink>
      <w:r>
        <w:rPr>
          <w:lang w:val="en-US"/>
        </w:rPr>
        <w:t>.</w:t>
      </w:r>
      <w:bookmarkEnd w:id="29"/>
    </w:p>
    <w:p w:rsidR="00681175" w:rsidRPr="00235ED1" w:rsidRDefault="00A9574F" w:rsidP="00235ED1">
      <w:pPr>
        <w:pStyle w:val="ListParagraph"/>
        <w:numPr>
          <w:ilvl w:val="0"/>
          <w:numId w:val="2"/>
        </w:numPr>
        <w:spacing w:after="160" w:line="256" w:lineRule="auto"/>
        <w:jc w:val="both"/>
        <w:textAlignment w:val="auto"/>
        <w:rPr>
          <w:lang w:val="en-US"/>
        </w:rPr>
      </w:pPr>
      <w:bookmarkStart w:id="30" w:name="_Ref503263719"/>
      <w:r w:rsidRPr="0081223F">
        <w:rPr>
          <w:lang w:val="en-US"/>
        </w:rPr>
        <w:t>3GPP TS 38.101-2 V15.0.0 (2017-12), “3rd Generation Partnership Project; Technical Specification Group Radio Access Network; NR; User Equipment (UE) radio transmission and reception; Part 2: Range 2 Standalone</w:t>
      </w:r>
      <w:r>
        <w:rPr>
          <w:lang w:val="en-US"/>
        </w:rPr>
        <w:t xml:space="preserve"> </w:t>
      </w:r>
      <w:r w:rsidRPr="0081223F">
        <w:rPr>
          <w:lang w:val="en-US"/>
        </w:rPr>
        <w:t>(Release 15)”</w:t>
      </w:r>
      <w:bookmarkEnd w:id="30"/>
    </w:p>
    <w:sectPr w:rsidR="00681175" w:rsidRPr="00235ED1" w:rsidSect="007D2899">
      <w:footerReference w:type="even" r:id="rId27"/>
      <w:footerReference w:type="default" r:id="rId2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82D" w:rsidRDefault="00E9182D">
      <w:r>
        <w:separator/>
      </w:r>
    </w:p>
  </w:endnote>
  <w:endnote w:type="continuationSeparator" w:id="0">
    <w:p w:rsidR="00E9182D" w:rsidRDefault="00E9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486" w:rsidRDefault="006574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57486" w:rsidRDefault="00657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486" w:rsidRDefault="006574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63183">
      <w:rPr>
        <w:rStyle w:val="PageNumber"/>
      </w:rPr>
      <w:t>17</w:t>
    </w:r>
    <w:r>
      <w:rPr>
        <w:rStyle w:val="PageNumber"/>
      </w:rPr>
      <w:fldChar w:fldCharType="end"/>
    </w:r>
  </w:p>
  <w:p w:rsidR="00657486" w:rsidRDefault="006574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82D" w:rsidRDefault="00E9182D">
      <w:r>
        <w:separator/>
      </w:r>
    </w:p>
  </w:footnote>
  <w:footnote w:type="continuationSeparator" w:id="0">
    <w:p w:rsidR="00E9182D" w:rsidRDefault="00E91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53C8"/>
    <w:multiLevelType w:val="hybridMultilevel"/>
    <w:tmpl w:val="E7C87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8D3312"/>
    <w:multiLevelType w:val="hybridMultilevel"/>
    <w:tmpl w:val="D8364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F5789"/>
    <w:multiLevelType w:val="hybridMultilevel"/>
    <w:tmpl w:val="CB924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62315"/>
    <w:multiLevelType w:val="hybridMultilevel"/>
    <w:tmpl w:val="09D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0"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0C5ED2"/>
    <w:multiLevelType w:val="hybridMultilevel"/>
    <w:tmpl w:val="CFAE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E32F88"/>
    <w:multiLevelType w:val="hybridMultilevel"/>
    <w:tmpl w:val="64C082C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4EA43F4C"/>
    <w:multiLevelType w:val="hybridMultilevel"/>
    <w:tmpl w:val="0B3AF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76268E1"/>
    <w:multiLevelType w:val="hybridMultilevel"/>
    <w:tmpl w:val="76B6A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85944"/>
    <w:multiLevelType w:val="hybridMultilevel"/>
    <w:tmpl w:val="BE4CEE54"/>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E847A55"/>
    <w:multiLevelType w:val="hybridMultilevel"/>
    <w:tmpl w:val="C4767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D62B18"/>
    <w:multiLevelType w:val="hybridMultilevel"/>
    <w:tmpl w:val="09B01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36"/>
  </w:num>
  <w:num w:numId="3">
    <w:abstractNumId w:val="42"/>
  </w:num>
  <w:num w:numId="4">
    <w:abstractNumId w:val="47"/>
  </w:num>
  <w:num w:numId="5">
    <w:abstractNumId w:val="34"/>
  </w:num>
  <w:num w:numId="6">
    <w:abstractNumId w:val="18"/>
  </w:num>
  <w:num w:numId="7">
    <w:abstractNumId w:val="6"/>
  </w:num>
  <w:num w:numId="8">
    <w:abstractNumId w:val="39"/>
  </w:num>
  <w:num w:numId="9">
    <w:abstractNumId w:val="21"/>
  </w:num>
  <w:num w:numId="10">
    <w:abstractNumId w:val="32"/>
  </w:num>
  <w:num w:numId="11">
    <w:abstractNumId w:val="48"/>
  </w:num>
  <w:num w:numId="12">
    <w:abstractNumId w:val="5"/>
  </w:num>
  <w:num w:numId="13">
    <w:abstractNumId w:val="4"/>
  </w:num>
  <w:num w:numId="14">
    <w:abstractNumId w:val="24"/>
  </w:num>
  <w:num w:numId="15">
    <w:abstractNumId w:val="29"/>
  </w:num>
  <w:num w:numId="16">
    <w:abstractNumId w:val="11"/>
  </w:num>
  <w:num w:numId="17">
    <w:abstractNumId w:val="46"/>
  </w:num>
  <w:num w:numId="18">
    <w:abstractNumId w:val="20"/>
  </w:num>
  <w:num w:numId="19">
    <w:abstractNumId w:val="1"/>
  </w:num>
  <w:num w:numId="20">
    <w:abstractNumId w:val="10"/>
  </w:num>
  <w:num w:numId="21">
    <w:abstractNumId w:val="12"/>
  </w:num>
  <w:num w:numId="22">
    <w:abstractNumId w:val="2"/>
  </w:num>
  <w:num w:numId="23">
    <w:abstractNumId w:val="8"/>
  </w:num>
  <w:num w:numId="24">
    <w:abstractNumId w:val="16"/>
  </w:num>
  <w:num w:numId="25">
    <w:abstractNumId w:val="41"/>
  </w:num>
  <w:num w:numId="26">
    <w:abstractNumId w:val="23"/>
  </w:num>
  <w:num w:numId="27">
    <w:abstractNumId w:val="44"/>
  </w:num>
  <w:num w:numId="28">
    <w:abstractNumId w:val="35"/>
  </w:num>
  <w:num w:numId="29">
    <w:abstractNumId w:val="3"/>
  </w:num>
  <w:num w:numId="30">
    <w:abstractNumId w:val="33"/>
  </w:num>
  <w:num w:numId="31">
    <w:abstractNumId w:val="9"/>
  </w:num>
  <w:num w:numId="32">
    <w:abstractNumId w:val="7"/>
  </w:num>
  <w:num w:numId="33">
    <w:abstractNumId w:val="15"/>
  </w:num>
  <w:num w:numId="34">
    <w:abstractNumId w:val="26"/>
  </w:num>
  <w:num w:numId="35">
    <w:abstractNumId w:val="14"/>
  </w:num>
  <w:num w:numId="36">
    <w:abstractNumId w:val="43"/>
  </w:num>
  <w:num w:numId="37">
    <w:abstractNumId w:val="45"/>
  </w:num>
  <w:num w:numId="38">
    <w:abstractNumId w:val="31"/>
  </w:num>
  <w:num w:numId="39">
    <w:abstractNumId w:val="13"/>
  </w:num>
  <w:num w:numId="40">
    <w:abstractNumId w:val="25"/>
  </w:num>
  <w:num w:numId="41">
    <w:abstractNumId w:val="22"/>
  </w:num>
  <w:num w:numId="42">
    <w:abstractNumId w:val="38"/>
  </w:num>
  <w:num w:numId="43">
    <w:abstractNumId w:val="27"/>
  </w:num>
  <w:num w:numId="44">
    <w:abstractNumId w:val="40"/>
  </w:num>
  <w:num w:numId="45">
    <w:abstractNumId w:val="37"/>
  </w:num>
  <w:num w:numId="46">
    <w:abstractNumId w:val="0"/>
  </w:num>
  <w:num w:numId="47">
    <w:abstractNumId w:val="19"/>
  </w:num>
  <w:num w:numId="48">
    <w:abstractNumId w:val="17"/>
  </w:num>
  <w:num w:numId="4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4A90"/>
    <w:rsid w:val="00006110"/>
    <w:rsid w:val="00006186"/>
    <w:rsid w:val="00006198"/>
    <w:rsid w:val="0000667F"/>
    <w:rsid w:val="00006710"/>
    <w:rsid w:val="00006C4A"/>
    <w:rsid w:val="0000791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3184"/>
    <w:rsid w:val="00043D07"/>
    <w:rsid w:val="00043DDF"/>
    <w:rsid w:val="000446FD"/>
    <w:rsid w:val="0004511D"/>
    <w:rsid w:val="00045318"/>
    <w:rsid w:val="00045774"/>
    <w:rsid w:val="00045D7C"/>
    <w:rsid w:val="00045F53"/>
    <w:rsid w:val="00046069"/>
    <w:rsid w:val="0004795F"/>
    <w:rsid w:val="00047A40"/>
    <w:rsid w:val="00047BD8"/>
    <w:rsid w:val="00051030"/>
    <w:rsid w:val="00052BBE"/>
    <w:rsid w:val="00052C76"/>
    <w:rsid w:val="00053E42"/>
    <w:rsid w:val="00054510"/>
    <w:rsid w:val="000549BA"/>
    <w:rsid w:val="000550EF"/>
    <w:rsid w:val="00055B21"/>
    <w:rsid w:val="00057067"/>
    <w:rsid w:val="00057950"/>
    <w:rsid w:val="000601B0"/>
    <w:rsid w:val="00061E23"/>
    <w:rsid w:val="00061F66"/>
    <w:rsid w:val="00062E5A"/>
    <w:rsid w:val="00062F52"/>
    <w:rsid w:val="00063000"/>
    <w:rsid w:val="000635C0"/>
    <w:rsid w:val="0006427B"/>
    <w:rsid w:val="000642D1"/>
    <w:rsid w:val="0006440F"/>
    <w:rsid w:val="00064870"/>
    <w:rsid w:val="00065A12"/>
    <w:rsid w:val="00066EEB"/>
    <w:rsid w:val="00067769"/>
    <w:rsid w:val="00070561"/>
    <w:rsid w:val="00070ECC"/>
    <w:rsid w:val="00071305"/>
    <w:rsid w:val="0007227A"/>
    <w:rsid w:val="000724BF"/>
    <w:rsid w:val="000731FD"/>
    <w:rsid w:val="00073468"/>
    <w:rsid w:val="000737DA"/>
    <w:rsid w:val="000753CE"/>
    <w:rsid w:val="0007555F"/>
    <w:rsid w:val="000769D9"/>
    <w:rsid w:val="00076DB9"/>
    <w:rsid w:val="00077FE0"/>
    <w:rsid w:val="00080292"/>
    <w:rsid w:val="0008232D"/>
    <w:rsid w:val="00082CE8"/>
    <w:rsid w:val="0008378A"/>
    <w:rsid w:val="000841A8"/>
    <w:rsid w:val="00084301"/>
    <w:rsid w:val="0008452A"/>
    <w:rsid w:val="00084BE4"/>
    <w:rsid w:val="0008544F"/>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CA2"/>
    <w:rsid w:val="000972E8"/>
    <w:rsid w:val="00097818"/>
    <w:rsid w:val="00097A37"/>
    <w:rsid w:val="00097BF2"/>
    <w:rsid w:val="00097CFE"/>
    <w:rsid w:val="000A00A8"/>
    <w:rsid w:val="000A0FE2"/>
    <w:rsid w:val="000A1326"/>
    <w:rsid w:val="000A1A26"/>
    <w:rsid w:val="000A1AF9"/>
    <w:rsid w:val="000A2153"/>
    <w:rsid w:val="000A2A53"/>
    <w:rsid w:val="000A2D07"/>
    <w:rsid w:val="000A31E0"/>
    <w:rsid w:val="000A3A69"/>
    <w:rsid w:val="000A3BD7"/>
    <w:rsid w:val="000A47CD"/>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4DA9"/>
    <w:rsid w:val="000B5030"/>
    <w:rsid w:val="000B5EE7"/>
    <w:rsid w:val="000B5FC6"/>
    <w:rsid w:val="000B6307"/>
    <w:rsid w:val="000B67D0"/>
    <w:rsid w:val="000B6D46"/>
    <w:rsid w:val="000B6D65"/>
    <w:rsid w:val="000C02FD"/>
    <w:rsid w:val="000C0843"/>
    <w:rsid w:val="000C084C"/>
    <w:rsid w:val="000C086D"/>
    <w:rsid w:val="000C0B1F"/>
    <w:rsid w:val="000C0FD7"/>
    <w:rsid w:val="000C1C8F"/>
    <w:rsid w:val="000C1EBE"/>
    <w:rsid w:val="000C1F3E"/>
    <w:rsid w:val="000C26E0"/>
    <w:rsid w:val="000C347D"/>
    <w:rsid w:val="000C4A55"/>
    <w:rsid w:val="000C4A8B"/>
    <w:rsid w:val="000C5396"/>
    <w:rsid w:val="000C5EE5"/>
    <w:rsid w:val="000C655C"/>
    <w:rsid w:val="000C6650"/>
    <w:rsid w:val="000C6CBF"/>
    <w:rsid w:val="000C73B4"/>
    <w:rsid w:val="000C7712"/>
    <w:rsid w:val="000C7DB2"/>
    <w:rsid w:val="000C7E14"/>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4632"/>
    <w:rsid w:val="000F5A74"/>
    <w:rsid w:val="000F5EAE"/>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548"/>
    <w:rsid w:val="001469DA"/>
    <w:rsid w:val="00146FE7"/>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3A00"/>
    <w:rsid w:val="001842E4"/>
    <w:rsid w:val="00184942"/>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42"/>
    <w:rsid w:val="001A24F6"/>
    <w:rsid w:val="001A35DF"/>
    <w:rsid w:val="001A3E47"/>
    <w:rsid w:val="001A4813"/>
    <w:rsid w:val="001A4C57"/>
    <w:rsid w:val="001A50B1"/>
    <w:rsid w:val="001A5270"/>
    <w:rsid w:val="001A658B"/>
    <w:rsid w:val="001A6604"/>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E69"/>
    <w:rsid w:val="001B6982"/>
    <w:rsid w:val="001B6B77"/>
    <w:rsid w:val="001C099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6E6"/>
    <w:rsid w:val="001F1AFB"/>
    <w:rsid w:val="001F1E8A"/>
    <w:rsid w:val="001F2C22"/>
    <w:rsid w:val="001F2E0B"/>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0C9A"/>
    <w:rsid w:val="00221235"/>
    <w:rsid w:val="00221BA7"/>
    <w:rsid w:val="00221D4F"/>
    <w:rsid w:val="0022412D"/>
    <w:rsid w:val="002247C0"/>
    <w:rsid w:val="00224CA8"/>
    <w:rsid w:val="0022544D"/>
    <w:rsid w:val="0022639F"/>
    <w:rsid w:val="00227278"/>
    <w:rsid w:val="00230C94"/>
    <w:rsid w:val="00230C9B"/>
    <w:rsid w:val="00230EB7"/>
    <w:rsid w:val="00230EC6"/>
    <w:rsid w:val="002318D1"/>
    <w:rsid w:val="00231913"/>
    <w:rsid w:val="002342B0"/>
    <w:rsid w:val="00234C5F"/>
    <w:rsid w:val="0023565D"/>
    <w:rsid w:val="00235ED1"/>
    <w:rsid w:val="00236663"/>
    <w:rsid w:val="0023690B"/>
    <w:rsid w:val="00236C6E"/>
    <w:rsid w:val="00236FAA"/>
    <w:rsid w:val="002370A2"/>
    <w:rsid w:val="002372E7"/>
    <w:rsid w:val="002377F9"/>
    <w:rsid w:val="00237C95"/>
    <w:rsid w:val="00237E42"/>
    <w:rsid w:val="0024002C"/>
    <w:rsid w:val="00240451"/>
    <w:rsid w:val="00241784"/>
    <w:rsid w:val="002420FA"/>
    <w:rsid w:val="00243110"/>
    <w:rsid w:val="0024341E"/>
    <w:rsid w:val="0024520A"/>
    <w:rsid w:val="00245579"/>
    <w:rsid w:val="002461C3"/>
    <w:rsid w:val="0024755E"/>
    <w:rsid w:val="00250A13"/>
    <w:rsid w:val="00250EF2"/>
    <w:rsid w:val="00251B67"/>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6B5C"/>
    <w:rsid w:val="002778DC"/>
    <w:rsid w:val="00277B68"/>
    <w:rsid w:val="00280813"/>
    <w:rsid w:val="00280B04"/>
    <w:rsid w:val="0028105E"/>
    <w:rsid w:val="002834C9"/>
    <w:rsid w:val="00283AAC"/>
    <w:rsid w:val="0028415F"/>
    <w:rsid w:val="0028417E"/>
    <w:rsid w:val="00284391"/>
    <w:rsid w:val="00285070"/>
    <w:rsid w:val="00285405"/>
    <w:rsid w:val="002854F2"/>
    <w:rsid w:val="0028581F"/>
    <w:rsid w:val="002865FA"/>
    <w:rsid w:val="002869C0"/>
    <w:rsid w:val="00290240"/>
    <w:rsid w:val="00290FB2"/>
    <w:rsid w:val="002921C4"/>
    <w:rsid w:val="002932EC"/>
    <w:rsid w:val="00293CD0"/>
    <w:rsid w:val="00294088"/>
    <w:rsid w:val="00296186"/>
    <w:rsid w:val="00296805"/>
    <w:rsid w:val="00296B1B"/>
    <w:rsid w:val="00296B60"/>
    <w:rsid w:val="00296B7E"/>
    <w:rsid w:val="00296C72"/>
    <w:rsid w:val="00296FCC"/>
    <w:rsid w:val="0029758D"/>
    <w:rsid w:val="002976AF"/>
    <w:rsid w:val="00297836"/>
    <w:rsid w:val="00297D98"/>
    <w:rsid w:val="002A0061"/>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3C5A"/>
    <w:rsid w:val="002C40ED"/>
    <w:rsid w:val="002C4E58"/>
    <w:rsid w:val="002C4F68"/>
    <w:rsid w:val="002C55BD"/>
    <w:rsid w:val="002C7B2B"/>
    <w:rsid w:val="002C7C8C"/>
    <w:rsid w:val="002C7CC0"/>
    <w:rsid w:val="002D087B"/>
    <w:rsid w:val="002D0BCE"/>
    <w:rsid w:val="002D0C99"/>
    <w:rsid w:val="002D1DB1"/>
    <w:rsid w:val="002D2365"/>
    <w:rsid w:val="002D282D"/>
    <w:rsid w:val="002D3403"/>
    <w:rsid w:val="002D4919"/>
    <w:rsid w:val="002D4A80"/>
    <w:rsid w:val="002D4D1D"/>
    <w:rsid w:val="002D58A5"/>
    <w:rsid w:val="002D5DDD"/>
    <w:rsid w:val="002D606A"/>
    <w:rsid w:val="002D639D"/>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B92"/>
    <w:rsid w:val="002F037C"/>
    <w:rsid w:val="002F09F6"/>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14D1"/>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383F"/>
    <w:rsid w:val="00363A2D"/>
    <w:rsid w:val="00364132"/>
    <w:rsid w:val="00364AA0"/>
    <w:rsid w:val="00364D22"/>
    <w:rsid w:val="0036548D"/>
    <w:rsid w:val="00365D22"/>
    <w:rsid w:val="003662FF"/>
    <w:rsid w:val="003667C5"/>
    <w:rsid w:val="0036684F"/>
    <w:rsid w:val="00367EDE"/>
    <w:rsid w:val="00370CDE"/>
    <w:rsid w:val="003710AC"/>
    <w:rsid w:val="003713BC"/>
    <w:rsid w:val="003715FB"/>
    <w:rsid w:val="003720AD"/>
    <w:rsid w:val="00372B4A"/>
    <w:rsid w:val="00373574"/>
    <w:rsid w:val="003736A5"/>
    <w:rsid w:val="00373BF7"/>
    <w:rsid w:val="003771B4"/>
    <w:rsid w:val="00377C74"/>
    <w:rsid w:val="00377F1B"/>
    <w:rsid w:val="00380411"/>
    <w:rsid w:val="00380CA3"/>
    <w:rsid w:val="00380D90"/>
    <w:rsid w:val="003812C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17B"/>
    <w:rsid w:val="003A31DA"/>
    <w:rsid w:val="003A3229"/>
    <w:rsid w:val="003A3B97"/>
    <w:rsid w:val="003A47FD"/>
    <w:rsid w:val="003A4826"/>
    <w:rsid w:val="003A5417"/>
    <w:rsid w:val="003A5A21"/>
    <w:rsid w:val="003A5AA8"/>
    <w:rsid w:val="003A6236"/>
    <w:rsid w:val="003A667B"/>
    <w:rsid w:val="003A6A23"/>
    <w:rsid w:val="003A6B12"/>
    <w:rsid w:val="003A73DF"/>
    <w:rsid w:val="003A79BE"/>
    <w:rsid w:val="003A7A72"/>
    <w:rsid w:val="003A7B83"/>
    <w:rsid w:val="003A7BB8"/>
    <w:rsid w:val="003B0495"/>
    <w:rsid w:val="003B0C9D"/>
    <w:rsid w:val="003B1819"/>
    <w:rsid w:val="003B29CD"/>
    <w:rsid w:val="003B2D81"/>
    <w:rsid w:val="003B3BF9"/>
    <w:rsid w:val="003B3D77"/>
    <w:rsid w:val="003B53D8"/>
    <w:rsid w:val="003B5714"/>
    <w:rsid w:val="003B575B"/>
    <w:rsid w:val="003B5F4D"/>
    <w:rsid w:val="003B796F"/>
    <w:rsid w:val="003C06DA"/>
    <w:rsid w:val="003C1042"/>
    <w:rsid w:val="003C1867"/>
    <w:rsid w:val="003C1A64"/>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05"/>
    <w:rsid w:val="0040474E"/>
    <w:rsid w:val="004056A3"/>
    <w:rsid w:val="00405F8D"/>
    <w:rsid w:val="00406DDB"/>
    <w:rsid w:val="004073F3"/>
    <w:rsid w:val="004074BA"/>
    <w:rsid w:val="004076C8"/>
    <w:rsid w:val="004079A4"/>
    <w:rsid w:val="00407A40"/>
    <w:rsid w:val="00407D2B"/>
    <w:rsid w:val="004105DB"/>
    <w:rsid w:val="0041167D"/>
    <w:rsid w:val="00411DE9"/>
    <w:rsid w:val="00413026"/>
    <w:rsid w:val="00414253"/>
    <w:rsid w:val="004148FF"/>
    <w:rsid w:val="00414BD6"/>
    <w:rsid w:val="00415201"/>
    <w:rsid w:val="0041540E"/>
    <w:rsid w:val="00416B73"/>
    <w:rsid w:val="00416EE8"/>
    <w:rsid w:val="00417600"/>
    <w:rsid w:val="00417A99"/>
    <w:rsid w:val="00420863"/>
    <w:rsid w:val="0042110B"/>
    <w:rsid w:val="0042128B"/>
    <w:rsid w:val="00422361"/>
    <w:rsid w:val="00422E0A"/>
    <w:rsid w:val="0042335E"/>
    <w:rsid w:val="0042352E"/>
    <w:rsid w:val="00423673"/>
    <w:rsid w:val="00423C15"/>
    <w:rsid w:val="00423FE3"/>
    <w:rsid w:val="00427022"/>
    <w:rsid w:val="00427FFA"/>
    <w:rsid w:val="004312BD"/>
    <w:rsid w:val="00431944"/>
    <w:rsid w:val="00431DD6"/>
    <w:rsid w:val="0043285A"/>
    <w:rsid w:val="00432A7E"/>
    <w:rsid w:val="00432B2A"/>
    <w:rsid w:val="00432C62"/>
    <w:rsid w:val="00432D57"/>
    <w:rsid w:val="00433397"/>
    <w:rsid w:val="004335A3"/>
    <w:rsid w:val="00433B2D"/>
    <w:rsid w:val="00433DAF"/>
    <w:rsid w:val="00433E77"/>
    <w:rsid w:val="004342A0"/>
    <w:rsid w:val="0043453D"/>
    <w:rsid w:val="00434872"/>
    <w:rsid w:val="00434F4E"/>
    <w:rsid w:val="00435452"/>
    <w:rsid w:val="004359A0"/>
    <w:rsid w:val="00436263"/>
    <w:rsid w:val="00436726"/>
    <w:rsid w:val="004372F6"/>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707"/>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6A7"/>
    <w:rsid w:val="00497852"/>
    <w:rsid w:val="00497A03"/>
    <w:rsid w:val="00497DF8"/>
    <w:rsid w:val="004A038E"/>
    <w:rsid w:val="004A187C"/>
    <w:rsid w:val="004A204A"/>
    <w:rsid w:val="004A282A"/>
    <w:rsid w:val="004A28E2"/>
    <w:rsid w:val="004A2B6E"/>
    <w:rsid w:val="004A38DE"/>
    <w:rsid w:val="004A4273"/>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BA2"/>
    <w:rsid w:val="004E1D25"/>
    <w:rsid w:val="004E269C"/>
    <w:rsid w:val="004E2BE0"/>
    <w:rsid w:val="004E373A"/>
    <w:rsid w:val="004E49C5"/>
    <w:rsid w:val="004E4CC0"/>
    <w:rsid w:val="004E5AFE"/>
    <w:rsid w:val="004E5B05"/>
    <w:rsid w:val="004E5CB3"/>
    <w:rsid w:val="004E6967"/>
    <w:rsid w:val="004E6DA4"/>
    <w:rsid w:val="004E7064"/>
    <w:rsid w:val="004E78C8"/>
    <w:rsid w:val="004F1F5B"/>
    <w:rsid w:val="004F2825"/>
    <w:rsid w:val="004F2BF9"/>
    <w:rsid w:val="004F37F0"/>
    <w:rsid w:val="004F3B49"/>
    <w:rsid w:val="004F4207"/>
    <w:rsid w:val="004F4B02"/>
    <w:rsid w:val="004F4FB8"/>
    <w:rsid w:val="004F5347"/>
    <w:rsid w:val="004F5D10"/>
    <w:rsid w:val="004F5E4B"/>
    <w:rsid w:val="004F6043"/>
    <w:rsid w:val="004F6757"/>
    <w:rsid w:val="004F692F"/>
    <w:rsid w:val="004F7081"/>
    <w:rsid w:val="004F7290"/>
    <w:rsid w:val="004F76AF"/>
    <w:rsid w:val="004F7DAB"/>
    <w:rsid w:val="004F7E8A"/>
    <w:rsid w:val="004F7ED0"/>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52FC"/>
    <w:rsid w:val="00515806"/>
    <w:rsid w:val="00515953"/>
    <w:rsid w:val="005167E8"/>
    <w:rsid w:val="00517B05"/>
    <w:rsid w:val="00521297"/>
    <w:rsid w:val="00524D75"/>
    <w:rsid w:val="005250F6"/>
    <w:rsid w:val="00525799"/>
    <w:rsid w:val="00525E31"/>
    <w:rsid w:val="005262F0"/>
    <w:rsid w:val="00526714"/>
    <w:rsid w:val="00526D84"/>
    <w:rsid w:val="00526E66"/>
    <w:rsid w:val="0052707B"/>
    <w:rsid w:val="0052780F"/>
    <w:rsid w:val="0052782A"/>
    <w:rsid w:val="00531558"/>
    <w:rsid w:val="00531B46"/>
    <w:rsid w:val="00532584"/>
    <w:rsid w:val="005327B6"/>
    <w:rsid w:val="00532855"/>
    <w:rsid w:val="00532FEC"/>
    <w:rsid w:val="005331CE"/>
    <w:rsid w:val="005335E6"/>
    <w:rsid w:val="00533B00"/>
    <w:rsid w:val="005340DE"/>
    <w:rsid w:val="005342A2"/>
    <w:rsid w:val="00534980"/>
    <w:rsid w:val="00534C5F"/>
    <w:rsid w:val="0053509D"/>
    <w:rsid w:val="005352D0"/>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3B8"/>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6163"/>
    <w:rsid w:val="0056774B"/>
    <w:rsid w:val="00567FC0"/>
    <w:rsid w:val="00570586"/>
    <w:rsid w:val="005706DD"/>
    <w:rsid w:val="00570B23"/>
    <w:rsid w:val="005719CC"/>
    <w:rsid w:val="00571CF8"/>
    <w:rsid w:val="00572669"/>
    <w:rsid w:val="0057391B"/>
    <w:rsid w:val="00573A64"/>
    <w:rsid w:val="00574170"/>
    <w:rsid w:val="00574420"/>
    <w:rsid w:val="00575814"/>
    <w:rsid w:val="00575ED0"/>
    <w:rsid w:val="00576D83"/>
    <w:rsid w:val="0058025A"/>
    <w:rsid w:val="0058081E"/>
    <w:rsid w:val="005816AC"/>
    <w:rsid w:val="00581EC4"/>
    <w:rsid w:val="0058268D"/>
    <w:rsid w:val="00582A1A"/>
    <w:rsid w:val="0058368D"/>
    <w:rsid w:val="00583984"/>
    <w:rsid w:val="00583FF2"/>
    <w:rsid w:val="00585287"/>
    <w:rsid w:val="00586B81"/>
    <w:rsid w:val="00586D95"/>
    <w:rsid w:val="005873E4"/>
    <w:rsid w:val="005877E7"/>
    <w:rsid w:val="00587877"/>
    <w:rsid w:val="00587F45"/>
    <w:rsid w:val="005925C7"/>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A7AA5"/>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12F9"/>
    <w:rsid w:val="005D1853"/>
    <w:rsid w:val="005D1A0F"/>
    <w:rsid w:val="005D2787"/>
    <w:rsid w:val="005D3511"/>
    <w:rsid w:val="005D47EC"/>
    <w:rsid w:val="005D4EF1"/>
    <w:rsid w:val="005D6217"/>
    <w:rsid w:val="005D636E"/>
    <w:rsid w:val="005D717C"/>
    <w:rsid w:val="005D7204"/>
    <w:rsid w:val="005D7C23"/>
    <w:rsid w:val="005E04D0"/>
    <w:rsid w:val="005E05A6"/>
    <w:rsid w:val="005E0962"/>
    <w:rsid w:val="005E0F8D"/>
    <w:rsid w:val="005E19B4"/>
    <w:rsid w:val="005E1EE7"/>
    <w:rsid w:val="005E2803"/>
    <w:rsid w:val="005E2BEB"/>
    <w:rsid w:val="005E3A2A"/>
    <w:rsid w:val="005E3C68"/>
    <w:rsid w:val="005E3E2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64AB"/>
    <w:rsid w:val="00607638"/>
    <w:rsid w:val="00607C85"/>
    <w:rsid w:val="006102C5"/>
    <w:rsid w:val="006105CF"/>
    <w:rsid w:val="0061093F"/>
    <w:rsid w:val="00610E2B"/>
    <w:rsid w:val="00611E72"/>
    <w:rsid w:val="00612119"/>
    <w:rsid w:val="006123A2"/>
    <w:rsid w:val="00613713"/>
    <w:rsid w:val="00614FB7"/>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5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305"/>
    <w:rsid w:val="006567EA"/>
    <w:rsid w:val="00656812"/>
    <w:rsid w:val="0065711D"/>
    <w:rsid w:val="0065744C"/>
    <w:rsid w:val="00657486"/>
    <w:rsid w:val="00657AE9"/>
    <w:rsid w:val="006606E2"/>
    <w:rsid w:val="00660D10"/>
    <w:rsid w:val="006612C5"/>
    <w:rsid w:val="00661EC0"/>
    <w:rsid w:val="006621E1"/>
    <w:rsid w:val="00663B0F"/>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D8C"/>
    <w:rsid w:val="00675DE3"/>
    <w:rsid w:val="00675FE2"/>
    <w:rsid w:val="0067642D"/>
    <w:rsid w:val="006771D9"/>
    <w:rsid w:val="00677A15"/>
    <w:rsid w:val="00677AC2"/>
    <w:rsid w:val="00677DA1"/>
    <w:rsid w:val="00681175"/>
    <w:rsid w:val="00682203"/>
    <w:rsid w:val="006829AC"/>
    <w:rsid w:val="00683F7E"/>
    <w:rsid w:val="00684156"/>
    <w:rsid w:val="006842DD"/>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8EC"/>
    <w:rsid w:val="006A0FC3"/>
    <w:rsid w:val="006A16FF"/>
    <w:rsid w:val="006A2312"/>
    <w:rsid w:val="006A2474"/>
    <w:rsid w:val="006A28BE"/>
    <w:rsid w:val="006A2ED4"/>
    <w:rsid w:val="006A30E2"/>
    <w:rsid w:val="006A3D8B"/>
    <w:rsid w:val="006A41F1"/>
    <w:rsid w:val="006A456C"/>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519"/>
    <w:rsid w:val="006B6D6C"/>
    <w:rsid w:val="006B6DAA"/>
    <w:rsid w:val="006B7132"/>
    <w:rsid w:val="006B7D70"/>
    <w:rsid w:val="006C0A93"/>
    <w:rsid w:val="006C18B7"/>
    <w:rsid w:val="006C19D1"/>
    <w:rsid w:val="006C2C1C"/>
    <w:rsid w:val="006C3896"/>
    <w:rsid w:val="006C38E6"/>
    <w:rsid w:val="006C3CA0"/>
    <w:rsid w:val="006C3E1E"/>
    <w:rsid w:val="006C3F36"/>
    <w:rsid w:val="006C4179"/>
    <w:rsid w:val="006C43D4"/>
    <w:rsid w:val="006C44DF"/>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21E"/>
    <w:rsid w:val="006F6978"/>
    <w:rsid w:val="006F6AC9"/>
    <w:rsid w:val="006F6B45"/>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987"/>
    <w:rsid w:val="00711F11"/>
    <w:rsid w:val="00712155"/>
    <w:rsid w:val="007128F6"/>
    <w:rsid w:val="00712B7E"/>
    <w:rsid w:val="00712CBA"/>
    <w:rsid w:val="00715F13"/>
    <w:rsid w:val="00716001"/>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64F"/>
    <w:rsid w:val="00727071"/>
    <w:rsid w:val="00727242"/>
    <w:rsid w:val="00730403"/>
    <w:rsid w:val="00730FFC"/>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249E"/>
    <w:rsid w:val="00742562"/>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968"/>
    <w:rsid w:val="007739A8"/>
    <w:rsid w:val="00773AFC"/>
    <w:rsid w:val="00773F65"/>
    <w:rsid w:val="0077434B"/>
    <w:rsid w:val="007747B8"/>
    <w:rsid w:val="007754EA"/>
    <w:rsid w:val="00775734"/>
    <w:rsid w:val="00775BED"/>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51C7"/>
    <w:rsid w:val="00795625"/>
    <w:rsid w:val="00795908"/>
    <w:rsid w:val="007968C2"/>
    <w:rsid w:val="00796FBD"/>
    <w:rsid w:val="0079721E"/>
    <w:rsid w:val="00797409"/>
    <w:rsid w:val="0079758B"/>
    <w:rsid w:val="007A065B"/>
    <w:rsid w:val="007A0BD1"/>
    <w:rsid w:val="007A0FA2"/>
    <w:rsid w:val="007A2462"/>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4EF8"/>
    <w:rsid w:val="007B5195"/>
    <w:rsid w:val="007B58FA"/>
    <w:rsid w:val="007B5B56"/>
    <w:rsid w:val="007B63B7"/>
    <w:rsid w:val="007B6449"/>
    <w:rsid w:val="007B693C"/>
    <w:rsid w:val="007C01B6"/>
    <w:rsid w:val="007C06DA"/>
    <w:rsid w:val="007C1173"/>
    <w:rsid w:val="007C118E"/>
    <w:rsid w:val="007C12C9"/>
    <w:rsid w:val="007C18C2"/>
    <w:rsid w:val="007C26B4"/>
    <w:rsid w:val="007C2E49"/>
    <w:rsid w:val="007C2EFF"/>
    <w:rsid w:val="007C3016"/>
    <w:rsid w:val="007C4E56"/>
    <w:rsid w:val="007C54FC"/>
    <w:rsid w:val="007C599A"/>
    <w:rsid w:val="007C5A4E"/>
    <w:rsid w:val="007C5FAC"/>
    <w:rsid w:val="007C669D"/>
    <w:rsid w:val="007C6872"/>
    <w:rsid w:val="007C6E00"/>
    <w:rsid w:val="007C72A8"/>
    <w:rsid w:val="007C753F"/>
    <w:rsid w:val="007C7837"/>
    <w:rsid w:val="007D04AF"/>
    <w:rsid w:val="007D0E83"/>
    <w:rsid w:val="007D2289"/>
    <w:rsid w:val="007D2899"/>
    <w:rsid w:val="007D2CD1"/>
    <w:rsid w:val="007D3C53"/>
    <w:rsid w:val="007D3E8D"/>
    <w:rsid w:val="007D47CD"/>
    <w:rsid w:val="007D4CA9"/>
    <w:rsid w:val="007D6CE6"/>
    <w:rsid w:val="007E1193"/>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74E4"/>
    <w:rsid w:val="007F0B26"/>
    <w:rsid w:val="007F0C18"/>
    <w:rsid w:val="007F1496"/>
    <w:rsid w:val="007F26CE"/>
    <w:rsid w:val="007F275A"/>
    <w:rsid w:val="007F4A74"/>
    <w:rsid w:val="007F4C47"/>
    <w:rsid w:val="007F51CC"/>
    <w:rsid w:val="007F5F94"/>
    <w:rsid w:val="007F720D"/>
    <w:rsid w:val="007F7987"/>
    <w:rsid w:val="007F7A0E"/>
    <w:rsid w:val="008000EE"/>
    <w:rsid w:val="00800130"/>
    <w:rsid w:val="0080055A"/>
    <w:rsid w:val="00800A35"/>
    <w:rsid w:val="00800BAF"/>
    <w:rsid w:val="008017C0"/>
    <w:rsid w:val="00801901"/>
    <w:rsid w:val="00801D20"/>
    <w:rsid w:val="00801D46"/>
    <w:rsid w:val="0080377A"/>
    <w:rsid w:val="00803BB2"/>
    <w:rsid w:val="00803EC5"/>
    <w:rsid w:val="00804830"/>
    <w:rsid w:val="00805702"/>
    <w:rsid w:val="00805A78"/>
    <w:rsid w:val="00805E4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4D64"/>
    <w:rsid w:val="00835AEF"/>
    <w:rsid w:val="00835FD5"/>
    <w:rsid w:val="00836C03"/>
    <w:rsid w:val="00837AA5"/>
    <w:rsid w:val="0084009E"/>
    <w:rsid w:val="0084078A"/>
    <w:rsid w:val="00841439"/>
    <w:rsid w:val="00841619"/>
    <w:rsid w:val="0084182C"/>
    <w:rsid w:val="00842010"/>
    <w:rsid w:val="0084318E"/>
    <w:rsid w:val="008436A4"/>
    <w:rsid w:val="0084379E"/>
    <w:rsid w:val="00844161"/>
    <w:rsid w:val="00845337"/>
    <w:rsid w:val="00845702"/>
    <w:rsid w:val="00846038"/>
    <w:rsid w:val="00846244"/>
    <w:rsid w:val="0084627F"/>
    <w:rsid w:val="00846A26"/>
    <w:rsid w:val="00847AFD"/>
    <w:rsid w:val="00847D73"/>
    <w:rsid w:val="00847F39"/>
    <w:rsid w:val="008505D7"/>
    <w:rsid w:val="008509C9"/>
    <w:rsid w:val="00852E67"/>
    <w:rsid w:val="00853B27"/>
    <w:rsid w:val="0085400A"/>
    <w:rsid w:val="0085443D"/>
    <w:rsid w:val="008562A0"/>
    <w:rsid w:val="0085660A"/>
    <w:rsid w:val="00856FF7"/>
    <w:rsid w:val="0085743F"/>
    <w:rsid w:val="0085775F"/>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E07"/>
    <w:rsid w:val="008708AF"/>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758"/>
    <w:rsid w:val="00887156"/>
    <w:rsid w:val="0088723B"/>
    <w:rsid w:val="00890AC6"/>
    <w:rsid w:val="00891411"/>
    <w:rsid w:val="008915DE"/>
    <w:rsid w:val="00891718"/>
    <w:rsid w:val="00891E17"/>
    <w:rsid w:val="00892DDB"/>
    <w:rsid w:val="00892DDE"/>
    <w:rsid w:val="0089367F"/>
    <w:rsid w:val="00893B71"/>
    <w:rsid w:val="0089466D"/>
    <w:rsid w:val="00894E3A"/>
    <w:rsid w:val="008951A8"/>
    <w:rsid w:val="0089544E"/>
    <w:rsid w:val="00895ACA"/>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97C"/>
    <w:rsid w:val="008A4C71"/>
    <w:rsid w:val="008A5040"/>
    <w:rsid w:val="008A54B9"/>
    <w:rsid w:val="008A7727"/>
    <w:rsid w:val="008A7D0D"/>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C0215"/>
    <w:rsid w:val="008C031F"/>
    <w:rsid w:val="008C10DA"/>
    <w:rsid w:val="008C23A2"/>
    <w:rsid w:val="008C333F"/>
    <w:rsid w:val="008C3E07"/>
    <w:rsid w:val="008C4341"/>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67F"/>
    <w:rsid w:val="008E2C29"/>
    <w:rsid w:val="008E3533"/>
    <w:rsid w:val="008E3800"/>
    <w:rsid w:val="008E44C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63"/>
    <w:rsid w:val="009014EE"/>
    <w:rsid w:val="009017D9"/>
    <w:rsid w:val="0090247D"/>
    <w:rsid w:val="00902497"/>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11040"/>
    <w:rsid w:val="00912095"/>
    <w:rsid w:val="00912569"/>
    <w:rsid w:val="009136DA"/>
    <w:rsid w:val="00913FF8"/>
    <w:rsid w:val="0091417E"/>
    <w:rsid w:val="00914799"/>
    <w:rsid w:val="00914A3A"/>
    <w:rsid w:val="00914C2B"/>
    <w:rsid w:val="0091588E"/>
    <w:rsid w:val="009159CA"/>
    <w:rsid w:val="00916A01"/>
    <w:rsid w:val="009175DC"/>
    <w:rsid w:val="00917B84"/>
    <w:rsid w:val="009200ED"/>
    <w:rsid w:val="009201E7"/>
    <w:rsid w:val="00920205"/>
    <w:rsid w:val="009207B9"/>
    <w:rsid w:val="00920F62"/>
    <w:rsid w:val="009224E7"/>
    <w:rsid w:val="0092276F"/>
    <w:rsid w:val="00922DBC"/>
    <w:rsid w:val="00922DE5"/>
    <w:rsid w:val="00923C16"/>
    <w:rsid w:val="0092405A"/>
    <w:rsid w:val="00925B35"/>
    <w:rsid w:val="0092609D"/>
    <w:rsid w:val="0092641C"/>
    <w:rsid w:val="00926EC6"/>
    <w:rsid w:val="00927DB4"/>
    <w:rsid w:val="0093022F"/>
    <w:rsid w:val="00930579"/>
    <w:rsid w:val="009307BC"/>
    <w:rsid w:val="00930C2E"/>
    <w:rsid w:val="0093144C"/>
    <w:rsid w:val="009314C8"/>
    <w:rsid w:val="0093196F"/>
    <w:rsid w:val="009321D0"/>
    <w:rsid w:val="009336C3"/>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19BF"/>
    <w:rsid w:val="009428CB"/>
    <w:rsid w:val="0094443D"/>
    <w:rsid w:val="00944B6C"/>
    <w:rsid w:val="0094506E"/>
    <w:rsid w:val="00946954"/>
    <w:rsid w:val="009470D1"/>
    <w:rsid w:val="00947171"/>
    <w:rsid w:val="0094749A"/>
    <w:rsid w:val="00947CE3"/>
    <w:rsid w:val="00950813"/>
    <w:rsid w:val="009508A3"/>
    <w:rsid w:val="00950D14"/>
    <w:rsid w:val="0095192B"/>
    <w:rsid w:val="009526C6"/>
    <w:rsid w:val="009536E5"/>
    <w:rsid w:val="00953893"/>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3183"/>
    <w:rsid w:val="00964255"/>
    <w:rsid w:val="00964583"/>
    <w:rsid w:val="009645CC"/>
    <w:rsid w:val="00965077"/>
    <w:rsid w:val="009657FE"/>
    <w:rsid w:val="00965D14"/>
    <w:rsid w:val="00965DC9"/>
    <w:rsid w:val="00966085"/>
    <w:rsid w:val="00966ADF"/>
    <w:rsid w:val="00967D1F"/>
    <w:rsid w:val="00970040"/>
    <w:rsid w:val="00970BDC"/>
    <w:rsid w:val="00970CE1"/>
    <w:rsid w:val="00970ED3"/>
    <w:rsid w:val="00971090"/>
    <w:rsid w:val="00971980"/>
    <w:rsid w:val="00971DBA"/>
    <w:rsid w:val="00971F5E"/>
    <w:rsid w:val="00973219"/>
    <w:rsid w:val="00973384"/>
    <w:rsid w:val="009733CA"/>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58E"/>
    <w:rsid w:val="00983671"/>
    <w:rsid w:val="00983939"/>
    <w:rsid w:val="00983C60"/>
    <w:rsid w:val="00983EAA"/>
    <w:rsid w:val="00985041"/>
    <w:rsid w:val="009851A6"/>
    <w:rsid w:val="009855F3"/>
    <w:rsid w:val="00985A99"/>
    <w:rsid w:val="009860C0"/>
    <w:rsid w:val="009863C3"/>
    <w:rsid w:val="0098654C"/>
    <w:rsid w:val="009865A6"/>
    <w:rsid w:val="0098680C"/>
    <w:rsid w:val="00986828"/>
    <w:rsid w:val="00986FE0"/>
    <w:rsid w:val="0098716E"/>
    <w:rsid w:val="009875C1"/>
    <w:rsid w:val="009877B2"/>
    <w:rsid w:val="00987DA6"/>
    <w:rsid w:val="009903D8"/>
    <w:rsid w:val="00990B18"/>
    <w:rsid w:val="00991607"/>
    <w:rsid w:val="00991E15"/>
    <w:rsid w:val="00992913"/>
    <w:rsid w:val="00992EE5"/>
    <w:rsid w:val="00993E0F"/>
    <w:rsid w:val="00993E14"/>
    <w:rsid w:val="009960E9"/>
    <w:rsid w:val="009964AB"/>
    <w:rsid w:val="009967C8"/>
    <w:rsid w:val="0099731F"/>
    <w:rsid w:val="0099797E"/>
    <w:rsid w:val="009A0750"/>
    <w:rsid w:val="009A1D62"/>
    <w:rsid w:val="009A2366"/>
    <w:rsid w:val="009A3970"/>
    <w:rsid w:val="009A3C45"/>
    <w:rsid w:val="009A4651"/>
    <w:rsid w:val="009A49A2"/>
    <w:rsid w:val="009A4D02"/>
    <w:rsid w:val="009A4F13"/>
    <w:rsid w:val="009A6DE2"/>
    <w:rsid w:val="009A7566"/>
    <w:rsid w:val="009A773F"/>
    <w:rsid w:val="009A790A"/>
    <w:rsid w:val="009B0165"/>
    <w:rsid w:val="009B0682"/>
    <w:rsid w:val="009B075D"/>
    <w:rsid w:val="009B08CA"/>
    <w:rsid w:val="009B15FC"/>
    <w:rsid w:val="009B17EC"/>
    <w:rsid w:val="009B2851"/>
    <w:rsid w:val="009B2DD8"/>
    <w:rsid w:val="009B37A1"/>
    <w:rsid w:val="009B3FAD"/>
    <w:rsid w:val="009B45EB"/>
    <w:rsid w:val="009B48C0"/>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761"/>
    <w:rsid w:val="009D3BD8"/>
    <w:rsid w:val="009D3E19"/>
    <w:rsid w:val="009D4C2C"/>
    <w:rsid w:val="009D4D1A"/>
    <w:rsid w:val="009D518E"/>
    <w:rsid w:val="009D5745"/>
    <w:rsid w:val="009D5DA2"/>
    <w:rsid w:val="009D7624"/>
    <w:rsid w:val="009D780D"/>
    <w:rsid w:val="009E02A4"/>
    <w:rsid w:val="009E083B"/>
    <w:rsid w:val="009E09BD"/>
    <w:rsid w:val="009E0F05"/>
    <w:rsid w:val="009E11B0"/>
    <w:rsid w:val="009E20D6"/>
    <w:rsid w:val="009E2636"/>
    <w:rsid w:val="009E27F4"/>
    <w:rsid w:val="009E34B3"/>
    <w:rsid w:val="009E3C7A"/>
    <w:rsid w:val="009E3EC9"/>
    <w:rsid w:val="009E429A"/>
    <w:rsid w:val="009E42CF"/>
    <w:rsid w:val="009E43A5"/>
    <w:rsid w:val="009E48F6"/>
    <w:rsid w:val="009E4C74"/>
    <w:rsid w:val="009E4E46"/>
    <w:rsid w:val="009E5FE9"/>
    <w:rsid w:val="009F0EEE"/>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233"/>
    <w:rsid w:val="00A05F4F"/>
    <w:rsid w:val="00A061EC"/>
    <w:rsid w:val="00A0685D"/>
    <w:rsid w:val="00A06960"/>
    <w:rsid w:val="00A06D3C"/>
    <w:rsid w:val="00A0728D"/>
    <w:rsid w:val="00A07499"/>
    <w:rsid w:val="00A10771"/>
    <w:rsid w:val="00A10898"/>
    <w:rsid w:val="00A10D63"/>
    <w:rsid w:val="00A10DFE"/>
    <w:rsid w:val="00A13382"/>
    <w:rsid w:val="00A1353D"/>
    <w:rsid w:val="00A13B01"/>
    <w:rsid w:val="00A13CF6"/>
    <w:rsid w:val="00A13D4D"/>
    <w:rsid w:val="00A14118"/>
    <w:rsid w:val="00A14529"/>
    <w:rsid w:val="00A14E3E"/>
    <w:rsid w:val="00A151A8"/>
    <w:rsid w:val="00A15A19"/>
    <w:rsid w:val="00A15FFD"/>
    <w:rsid w:val="00A16647"/>
    <w:rsid w:val="00A16AE1"/>
    <w:rsid w:val="00A179C1"/>
    <w:rsid w:val="00A20110"/>
    <w:rsid w:val="00A205B6"/>
    <w:rsid w:val="00A21BE5"/>
    <w:rsid w:val="00A21CEE"/>
    <w:rsid w:val="00A21EEF"/>
    <w:rsid w:val="00A21F75"/>
    <w:rsid w:val="00A2240D"/>
    <w:rsid w:val="00A227A2"/>
    <w:rsid w:val="00A22D8B"/>
    <w:rsid w:val="00A22D92"/>
    <w:rsid w:val="00A22EA2"/>
    <w:rsid w:val="00A235BD"/>
    <w:rsid w:val="00A23C0C"/>
    <w:rsid w:val="00A23D27"/>
    <w:rsid w:val="00A23D86"/>
    <w:rsid w:val="00A23EB5"/>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606F"/>
    <w:rsid w:val="00A364F4"/>
    <w:rsid w:val="00A36FC4"/>
    <w:rsid w:val="00A40A6D"/>
    <w:rsid w:val="00A41C7E"/>
    <w:rsid w:val="00A429AA"/>
    <w:rsid w:val="00A429E1"/>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3C8"/>
    <w:rsid w:val="00A90FF2"/>
    <w:rsid w:val="00A91634"/>
    <w:rsid w:val="00A93EAF"/>
    <w:rsid w:val="00A94611"/>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1053"/>
    <w:rsid w:val="00AB19DD"/>
    <w:rsid w:val="00AB1AAE"/>
    <w:rsid w:val="00AB21F9"/>
    <w:rsid w:val="00AB22CC"/>
    <w:rsid w:val="00AB2C2E"/>
    <w:rsid w:val="00AB2E2D"/>
    <w:rsid w:val="00AB3909"/>
    <w:rsid w:val="00AB393C"/>
    <w:rsid w:val="00AB3A7E"/>
    <w:rsid w:val="00AB4143"/>
    <w:rsid w:val="00AB488E"/>
    <w:rsid w:val="00AB4A58"/>
    <w:rsid w:val="00AB540E"/>
    <w:rsid w:val="00AB617A"/>
    <w:rsid w:val="00AB6943"/>
    <w:rsid w:val="00AC033F"/>
    <w:rsid w:val="00AC1807"/>
    <w:rsid w:val="00AC1D9E"/>
    <w:rsid w:val="00AC243C"/>
    <w:rsid w:val="00AC4137"/>
    <w:rsid w:val="00AC50DA"/>
    <w:rsid w:val="00AC540F"/>
    <w:rsid w:val="00AC5532"/>
    <w:rsid w:val="00AC58B4"/>
    <w:rsid w:val="00AC5BDB"/>
    <w:rsid w:val="00AC5C65"/>
    <w:rsid w:val="00AC6C3A"/>
    <w:rsid w:val="00AC7012"/>
    <w:rsid w:val="00AC7471"/>
    <w:rsid w:val="00AC7E61"/>
    <w:rsid w:val="00AD032F"/>
    <w:rsid w:val="00AD1D03"/>
    <w:rsid w:val="00AD247B"/>
    <w:rsid w:val="00AD2DF4"/>
    <w:rsid w:val="00AD3125"/>
    <w:rsid w:val="00AD4BB3"/>
    <w:rsid w:val="00AD4F75"/>
    <w:rsid w:val="00AD555B"/>
    <w:rsid w:val="00AD5BC5"/>
    <w:rsid w:val="00AD693F"/>
    <w:rsid w:val="00AE01CF"/>
    <w:rsid w:val="00AE0900"/>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B7E"/>
    <w:rsid w:val="00AF4EB8"/>
    <w:rsid w:val="00AF56DB"/>
    <w:rsid w:val="00AF5718"/>
    <w:rsid w:val="00AF5AD0"/>
    <w:rsid w:val="00AF5D37"/>
    <w:rsid w:val="00AF66EB"/>
    <w:rsid w:val="00AF6CB1"/>
    <w:rsid w:val="00AF7309"/>
    <w:rsid w:val="00AF7A7E"/>
    <w:rsid w:val="00B00983"/>
    <w:rsid w:val="00B01117"/>
    <w:rsid w:val="00B01816"/>
    <w:rsid w:val="00B01C49"/>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46E3"/>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084"/>
    <w:rsid w:val="00B3310F"/>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2DE0"/>
    <w:rsid w:val="00B432A5"/>
    <w:rsid w:val="00B446A1"/>
    <w:rsid w:val="00B45791"/>
    <w:rsid w:val="00B46047"/>
    <w:rsid w:val="00B467AD"/>
    <w:rsid w:val="00B47880"/>
    <w:rsid w:val="00B5061D"/>
    <w:rsid w:val="00B509FF"/>
    <w:rsid w:val="00B5194E"/>
    <w:rsid w:val="00B5226E"/>
    <w:rsid w:val="00B522BF"/>
    <w:rsid w:val="00B524AC"/>
    <w:rsid w:val="00B5308B"/>
    <w:rsid w:val="00B53267"/>
    <w:rsid w:val="00B53DBF"/>
    <w:rsid w:val="00B5471A"/>
    <w:rsid w:val="00B54954"/>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15E4"/>
    <w:rsid w:val="00B71624"/>
    <w:rsid w:val="00B72124"/>
    <w:rsid w:val="00B72140"/>
    <w:rsid w:val="00B73844"/>
    <w:rsid w:val="00B73FC3"/>
    <w:rsid w:val="00B7441F"/>
    <w:rsid w:val="00B7443C"/>
    <w:rsid w:val="00B745E0"/>
    <w:rsid w:val="00B755FD"/>
    <w:rsid w:val="00B7658D"/>
    <w:rsid w:val="00B76B53"/>
    <w:rsid w:val="00B76F26"/>
    <w:rsid w:val="00B778AA"/>
    <w:rsid w:val="00B806A3"/>
    <w:rsid w:val="00B81794"/>
    <w:rsid w:val="00B82F31"/>
    <w:rsid w:val="00B84464"/>
    <w:rsid w:val="00B852B5"/>
    <w:rsid w:val="00B86269"/>
    <w:rsid w:val="00B872BE"/>
    <w:rsid w:val="00B90500"/>
    <w:rsid w:val="00B90B7A"/>
    <w:rsid w:val="00B91735"/>
    <w:rsid w:val="00B920B4"/>
    <w:rsid w:val="00B92633"/>
    <w:rsid w:val="00B92B00"/>
    <w:rsid w:val="00B92BD1"/>
    <w:rsid w:val="00B934CD"/>
    <w:rsid w:val="00B935A4"/>
    <w:rsid w:val="00B9365B"/>
    <w:rsid w:val="00B93D6F"/>
    <w:rsid w:val="00B93E60"/>
    <w:rsid w:val="00B94097"/>
    <w:rsid w:val="00B94DD0"/>
    <w:rsid w:val="00B95415"/>
    <w:rsid w:val="00B9579A"/>
    <w:rsid w:val="00B96992"/>
    <w:rsid w:val="00B97278"/>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38AD"/>
    <w:rsid w:val="00BC4194"/>
    <w:rsid w:val="00BC4326"/>
    <w:rsid w:val="00BC54C4"/>
    <w:rsid w:val="00BC5646"/>
    <w:rsid w:val="00BC56BA"/>
    <w:rsid w:val="00BC5B9A"/>
    <w:rsid w:val="00BC5BA0"/>
    <w:rsid w:val="00BC76A1"/>
    <w:rsid w:val="00BC7C48"/>
    <w:rsid w:val="00BC7EA8"/>
    <w:rsid w:val="00BD00A4"/>
    <w:rsid w:val="00BD0AED"/>
    <w:rsid w:val="00BD0C23"/>
    <w:rsid w:val="00BD10E4"/>
    <w:rsid w:val="00BD113A"/>
    <w:rsid w:val="00BD154F"/>
    <w:rsid w:val="00BD1D94"/>
    <w:rsid w:val="00BD2330"/>
    <w:rsid w:val="00BD2D5C"/>
    <w:rsid w:val="00BD2D61"/>
    <w:rsid w:val="00BD33E3"/>
    <w:rsid w:val="00BD3824"/>
    <w:rsid w:val="00BD4554"/>
    <w:rsid w:val="00BD4727"/>
    <w:rsid w:val="00BD4B33"/>
    <w:rsid w:val="00BD5377"/>
    <w:rsid w:val="00BD54ED"/>
    <w:rsid w:val="00BD5737"/>
    <w:rsid w:val="00BD5AF5"/>
    <w:rsid w:val="00BD5C2D"/>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6FE4"/>
    <w:rsid w:val="00BE7BB5"/>
    <w:rsid w:val="00BF0A47"/>
    <w:rsid w:val="00BF117A"/>
    <w:rsid w:val="00BF1B1F"/>
    <w:rsid w:val="00BF3A02"/>
    <w:rsid w:val="00BF40A8"/>
    <w:rsid w:val="00BF49E1"/>
    <w:rsid w:val="00BF5DEF"/>
    <w:rsid w:val="00BF69EA"/>
    <w:rsid w:val="00BF6D33"/>
    <w:rsid w:val="00BF747F"/>
    <w:rsid w:val="00C00F79"/>
    <w:rsid w:val="00C018D6"/>
    <w:rsid w:val="00C01B14"/>
    <w:rsid w:val="00C021AE"/>
    <w:rsid w:val="00C0260F"/>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524"/>
    <w:rsid w:val="00C226F3"/>
    <w:rsid w:val="00C234BE"/>
    <w:rsid w:val="00C23B76"/>
    <w:rsid w:val="00C23E40"/>
    <w:rsid w:val="00C24DDB"/>
    <w:rsid w:val="00C260C6"/>
    <w:rsid w:val="00C266D2"/>
    <w:rsid w:val="00C2679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21BA"/>
    <w:rsid w:val="00C63FEE"/>
    <w:rsid w:val="00C6441F"/>
    <w:rsid w:val="00C64668"/>
    <w:rsid w:val="00C6466B"/>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19E"/>
    <w:rsid w:val="00C76A00"/>
    <w:rsid w:val="00C80BCE"/>
    <w:rsid w:val="00C81037"/>
    <w:rsid w:val="00C8154D"/>
    <w:rsid w:val="00C81723"/>
    <w:rsid w:val="00C82BCD"/>
    <w:rsid w:val="00C82D0D"/>
    <w:rsid w:val="00C83527"/>
    <w:rsid w:val="00C83FBF"/>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879"/>
    <w:rsid w:val="00CC21EF"/>
    <w:rsid w:val="00CC2831"/>
    <w:rsid w:val="00CC28CA"/>
    <w:rsid w:val="00CC2E12"/>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6312"/>
    <w:rsid w:val="00D26419"/>
    <w:rsid w:val="00D26BA2"/>
    <w:rsid w:val="00D273DE"/>
    <w:rsid w:val="00D31226"/>
    <w:rsid w:val="00D31FEA"/>
    <w:rsid w:val="00D3265C"/>
    <w:rsid w:val="00D32E65"/>
    <w:rsid w:val="00D32F25"/>
    <w:rsid w:val="00D3342D"/>
    <w:rsid w:val="00D33802"/>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D25"/>
    <w:rsid w:val="00D50269"/>
    <w:rsid w:val="00D513BC"/>
    <w:rsid w:val="00D51D44"/>
    <w:rsid w:val="00D52539"/>
    <w:rsid w:val="00D5271B"/>
    <w:rsid w:val="00D5293A"/>
    <w:rsid w:val="00D52EB2"/>
    <w:rsid w:val="00D531F0"/>
    <w:rsid w:val="00D53201"/>
    <w:rsid w:val="00D5324B"/>
    <w:rsid w:val="00D54A1E"/>
    <w:rsid w:val="00D5501D"/>
    <w:rsid w:val="00D550E6"/>
    <w:rsid w:val="00D55160"/>
    <w:rsid w:val="00D554F4"/>
    <w:rsid w:val="00D557ED"/>
    <w:rsid w:val="00D55857"/>
    <w:rsid w:val="00D5648A"/>
    <w:rsid w:val="00D56625"/>
    <w:rsid w:val="00D5689B"/>
    <w:rsid w:val="00D56B30"/>
    <w:rsid w:val="00D60342"/>
    <w:rsid w:val="00D60466"/>
    <w:rsid w:val="00D61828"/>
    <w:rsid w:val="00D61BD4"/>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87B"/>
    <w:rsid w:val="00D83FDD"/>
    <w:rsid w:val="00D84450"/>
    <w:rsid w:val="00D84977"/>
    <w:rsid w:val="00D84F25"/>
    <w:rsid w:val="00D8584A"/>
    <w:rsid w:val="00D85CD8"/>
    <w:rsid w:val="00D86E20"/>
    <w:rsid w:val="00D8720A"/>
    <w:rsid w:val="00D873C3"/>
    <w:rsid w:val="00D876C1"/>
    <w:rsid w:val="00D9016E"/>
    <w:rsid w:val="00D90931"/>
    <w:rsid w:val="00D91130"/>
    <w:rsid w:val="00D9152D"/>
    <w:rsid w:val="00D91D93"/>
    <w:rsid w:val="00D91DB5"/>
    <w:rsid w:val="00D92A44"/>
    <w:rsid w:val="00D93592"/>
    <w:rsid w:val="00D93A6E"/>
    <w:rsid w:val="00D9422C"/>
    <w:rsid w:val="00D9497B"/>
    <w:rsid w:val="00D95116"/>
    <w:rsid w:val="00D9583D"/>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23A"/>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779D"/>
    <w:rsid w:val="00DB2462"/>
    <w:rsid w:val="00DB2742"/>
    <w:rsid w:val="00DB313B"/>
    <w:rsid w:val="00DB3172"/>
    <w:rsid w:val="00DB3520"/>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0A9"/>
    <w:rsid w:val="00DD335A"/>
    <w:rsid w:val="00DD48D9"/>
    <w:rsid w:val="00DD52D7"/>
    <w:rsid w:val="00DD60AF"/>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07F34"/>
    <w:rsid w:val="00E10636"/>
    <w:rsid w:val="00E10A17"/>
    <w:rsid w:val="00E10C6F"/>
    <w:rsid w:val="00E11966"/>
    <w:rsid w:val="00E12206"/>
    <w:rsid w:val="00E12E73"/>
    <w:rsid w:val="00E13333"/>
    <w:rsid w:val="00E13CE9"/>
    <w:rsid w:val="00E14ACF"/>
    <w:rsid w:val="00E14C45"/>
    <w:rsid w:val="00E1538E"/>
    <w:rsid w:val="00E1543D"/>
    <w:rsid w:val="00E15E63"/>
    <w:rsid w:val="00E1637B"/>
    <w:rsid w:val="00E1689F"/>
    <w:rsid w:val="00E16B5C"/>
    <w:rsid w:val="00E16CAC"/>
    <w:rsid w:val="00E17789"/>
    <w:rsid w:val="00E17D20"/>
    <w:rsid w:val="00E2017B"/>
    <w:rsid w:val="00E20706"/>
    <w:rsid w:val="00E20D20"/>
    <w:rsid w:val="00E21234"/>
    <w:rsid w:val="00E212D0"/>
    <w:rsid w:val="00E220D3"/>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20D"/>
    <w:rsid w:val="00E7535E"/>
    <w:rsid w:val="00E75EBB"/>
    <w:rsid w:val="00E766D4"/>
    <w:rsid w:val="00E7685E"/>
    <w:rsid w:val="00E8023E"/>
    <w:rsid w:val="00E80295"/>
    <w:rsid w:val="00E80607"/>
    <w:rsid w:val="00E807EB"/>
    <w:rsid w:val="00E80A67"/>
    <w:rsid w:val="00E811E6"/>
    <w:rsid w:val="00E81602"/>
    <w:rsid w:val="00E81CCA"/>
    <w:rsid w:val="00E81E01"/>
    <w:rsid w:val="00E82948"/>
    <w:rsid w:val="00E82DC2"/>
    <w:rsid w:val="00E83311"/>
    <w:rsid w:val="00E8344A"/>
    <w:rsid w:val="00E83905"/>
    <w:rsid w:val="00E83C5F"/>
    <w:rsid w:val="00E83CA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82D"/>
    <w:rsid w:val="00E91A7F"/>
    <w:rsid w:val="00E92AD0"/>
    <w:rsid w:val="00E92B3F"/>
    <w:rsid w:val="00E92FE3"/>
    <w:rsid w:val="00E94E5C"/>
    <w:rsid w:val="00E95093"/>
    <w:rsid w:val="00E95EBF"/>
    <w:rsid w:val="00E96A09"/>
    <w:rsid w:val="00E974EB"/>
    <w:rsid w:val="00E976AD"/>
    <w:rsid w:val="00E978BC"/>
    <w:rsid w:val="00E97D31"/>
    <w:rsid w:val="00EA0525"/>
    <w:rsid w:val="00EA06F1"/>
    <w:rsid w:val="00EA1781"/>
    <w:rsid w:val="00EA22B3"/>
    <w:rsid w:val="00EA30B3"/>
    <w:rsid w:val="00EA4A7A"/>
    <w:rsid w:val="00EA544B"/>
    <w:rsid w:val="00EA5BD9"/>
    <w:rsid w:val="00EA6358"/>
    <w:rsid w:val="00EA6788"/>
    <w:rsid w:val="00EA6E0C"/>
    <w:rsid w:val="00EA769D"/>
    <w:rsid w:val="00EB0725"/>
    <w:rsid w:val="00EB073A"/>
    <w:rsid w:val="00EB07AF"/>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BF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C02"/>
    <w:rsid w:val="00ED67BD"/>
    <w:rsid w:val="00ED73BB"/>
    <w:rsid w:val="00EE076E"/>
    <w:rsid w:val="00EE07FF"/>
    <w:rsid w:val="00EE0950"/>
    <w:rsid w:val="00EE1502"/>
    <w:rsid w:val="00EE1B6C"/>
    <w:rsid w:val="00EE249C"/>
    <w:rsid w:val="00EE38D7"/>
    <w:rsid w:val="00EE38E7"/>
    <w:rsid w:val="00EE5452"/>
    <w:rsid w:val="00EE59DE"/>
    <w:rsid w:val="00EE6981"/>
    <w:rsid w:val="00EE75FD"/>
    <w:rsid w:val="00EE7EFC"/>
    <w:rsid w:val="00EE7F94"/>
    <w:rsid w:val="00EF155D"/>
    <w:rsid w:val="00EF34CA"/>
    <w:rsid w:val="00EF366C"/>
    <w:rsid w:val="00EF3D73"/>
    <w:rsid w:val="00EF4975"/>
    <w:rsid w:val="00EF5F75"/>
    <w:rsid w:val="00EF74F9"/>
    <w:rsid w:val="00EF7C60"/>
    <w:rsid w:val="00F00237"/>
    <w:rsid w:val="00F00F67"/>
    <w:rsid w:val="00F01AFB"/>
    <w:rsid w:val="00F023E8"/>
    <w:rsid w:val="00F02502"/>
    <w:rsid w:val="00F027DF"/>
    <w:rsid w:val="00F03822"/>
    <w:rsid w:val="00F03B3A"/>
    <w:rsid w:val="00F043EE"/>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3FEA"/>
    <w:rsid w:val="00F345D2"/>
    <w:rsid w:val="00F349CB"/>
    <w:rsid w:val="00F34A38"/>
    <w:rsid w:val="00F35409"/>
    <w:rsid w:val="00F354C9"/>
    <w:rsid w:val="00F368B6"/>
    <w:rsid w:val="00F36A11"/>
    <w:rsid w:val="00F36C90"/>
    <w:rsid w:val="00F36D83"/>
    <w:rsid w:val="00F3776C"/>
    <w:rsid w:val="00F4013A"/>
    <w:rsid w:val="00F40694"/>
    <w:rsid w:val="00F42A43"/>
    <w:rsid w:val="00F42BC0"/>
    <w:rsid w:val="00F437E7"/>
    <w:rsid w:val="00F43FE8"/>
    <w:rsid w:val="00F45965"/>
    <w:rsid w:val="00F45B1C"/>
    <w:rsid w:val="00F465A4"/>
    <w:rsid w:val="00F4698E"/>
    <w:rsid w:val="00F47E15"/>
    <w:rsid w:val="00F47FDF"/>
    <w:rsid w:val="00F50F32"/>
    <w:rsid w:val="00F5110D"/>
    <w:rsid w:val="00F51233"/>
    <w:rsid w:val="00F517A3"/>
    <w:rsid w:val="00F5187D"/>
    <w:rsid w:val="00F52796"/>
    <w:rsid w:val="00F52EA7"/>
    <w:rsid w:val="00F53716"/>
    <w:rsid w:val="00F53A5A"/>
    <w:rsid w:val="00F54BE6"/>
    <w:rsid w:val="00F550AE"/>
    <w:rsid w:val="00F553CD"/>
    <w:rsid w:val="00F55F6C"/>
    <w:rsid w:val="00F561CD"/>
    <w:rsid w:val="00F56228"/>
    <w:rsid w:val="00F571C1"/>
    <w:rsid w:val="00F577C7"/>
    <w:rsid w:val="00F57822"/>
    <w:rsid w:val="00F60331"/>
    <w:rsid w:val="00F606F2"/>
    <w:rsid w:val="00F609D9"/>
    <w:rsid w:val="00F618BB"/>
    <w:rsid w:val="00F62B53"/>
    <w:rsid w:val="00F62CBF"/>
    <w:rsid w:val="00F641AB"/>
    <w:rsid w:val="00F6437F"/>
    <w:rsid w:val="00F644CB"/>
    <w:rsid w:val="00F65E3C"/>
    <w:rsid w:val="00F65E8D"/>
    <w:rsid w:val="00F66838"/>
    <w:rsid w:val="00F66CB9"/>
    <w:rsid w:val="00F671F0"/>
    <w:rsid w:val="00F67F1F"/>
    <w:rsid w:val="00F7012E"/>
    <w:rsid w:val="00F70695"/>
    <w:rsid w:val="00F70D7E"/>
    <w:rsid w:val="00F711A2"/>
    <w:rsid w:val="00F734A5"/>
    <w:rsid w:val="00F739C8"/>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1345"/>
    <w:rsid w:val="00FA241B"/>
    <w:rsid w:val="00FA2B0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5CB"/>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7244"/>
    <w:rsid w:val="00FC76E9"/>
    <w:rsid w:val="00FC7FB3"/>
    <w:rsid w:val="00FD0152"/>
    <w:rsid w:val="00FD09D0"/>
    <w:rsid w:val="00FD0AAD"/>
    <w:rsid w:val="00FD23DD"/>
    <w:rsid w:val="00FD2719"/>
    <w:rsid w:val="00FD33DB"/>
    <w:rsid w:val="00FD3549"/>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8DFAA"/>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yperlink" Target="https://arxiv.org/abs/1801.03346" TargetMode="Externa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78156C4-91CF-462B-9950-371E8D1C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330</TotalTime>
  <Pages>17</Pages>
  <Words>3238</Words>
  <Characters>18457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21652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90</cp:revision>
  <cp:lastPrinted>2017-10-02T17:41:00Z</cp:lastPrinted>
  <dcterms:created xsi:type="dcterms:W3CDTF">2018-01-15T09:29:00Z</dcterms:created>
  <dcterms:modified xsi:type="dcterms:W3CDTF">2018-01-15T22:16:00Z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-1112171603</vt:i4>
  </property>
  <property fmtid="{D5CDD505-2E9C-101B-9397-08002B2CF9AE}" pid="11" name="_EmailSubject">
    <vt:lpwstr>Spherical Coverage - Draft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ReviewingToolsShownOnce">
    <vt:lpwstr/>
  </property>
</Properties>
</file>